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300" w:line="240" w:lineRule="auto"/>
        <w:rPr>
          <w:rFonts w:ascii="Open Sans" w:cs="Open Sans" w:eastAsia="Open Sans" w:hAnsi="Open Sans"/>
          <w:b w:val="1"/>
          <w:color w:val="6d7475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300" w:line="240" w:lineRule="auto"/>
        <w:rPr>
          <w:rFonts w:ascii="Open Sans" w:cs="Open Sans" w:eastAsia="Open Sans" w:hAnsi="Open Sans"/>
          <w:b w:val="1"/>
          <w:color w:val="6d7475"/>
          <w:sz w:val="19"/>
          <w:szCs w:val="19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6d7475"/>
          <w:sz w:val="19"/>
          <w:szCs w:val="19"/>
          <w:u w:val="single"/>
          <w:rtl w:val="0"/>
        </w:rPr>
        <w:t xml:space="preserve">COMUNICADO DE PRENSA</w:t>
      </w:r>
    </w:p>
    <w:p w:rsidR="00000000" w:rsidDel="00000000" w:rsidP="00000000" w:rsidRDefault="00000000" w:rsidRPr="00000000" w14:paraId="00000003">
      <w:pPr>
        <w:spacing w:after="240" w:before="300" w:line="240" w:lineRule="auto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Ante las últimas informaciones aparecidas en los medios de comunicación en relación con nuestra bodega de Pagos del Rey, desde Félix Solís, deseamos comunicar que: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En Félix Solís,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siempre fijamos los precios de manera individual con cada agricultor y cumpliendo escrupulosamente la Ley de la Cadena Alimentaria, no pagando nunca un precio por debajo de los costes de producción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Por lo que se refiere a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la D.O de La Rioja, Félix Solís, a través de su bodega Pagos del Rey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, lleva elaborando uva y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apostando por el crecimiento de dicha Denominación de Origen desde 2006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Contamos con proveedores de uva de la D.O de La Rioja,  a los que llevamos comprándoles la uva desde 2006, sin tener nunca ningún problema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, realizando con cada uno de ellos contratos individuales de compra de uva y siempre bajo las premisas y cumpliendo con rigor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lo establecido en la Ley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 de Mejora de Funcionamiento de la Cadena Alimentaria de 2013, así como sus modificaciones posteriores.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b w:val="1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En los citados contratos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el agricultor manifiesta que el precio acordado entre las partes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 (comprador y vendedor) 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es superior a su coste efectivo de producción.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Es más, actualmente,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tenemos un stock de vinos muy elevado, que no haría necesaria la compra de uva a los agricultores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, por no ser necesaria para abastecer nuestros mercados, pese a lo cual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, la compañía ha decidido seguir comprando uva a sus proveedores habituales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 para que la uva no se pierda,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como muestra de ese compromiso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con ellos y con la D. O de La Rioja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, máxime ante el complejo contexto que atraviesa la misma.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En este sentido, hay que señalar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que la comercialización de la D.O Rioja ha disminuido un 17% en menos de nueve años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, pasando de los 280 millones de litros de vino en 2015 a los  233 millones de litros en 2023. Tendencia que se ha acentuado en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el primer semestre de 2024 con una caída del 3,98 %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 sobre el mismo periodo del ejercicio anterior.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Asimismo, la producción de uva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en 2015 era de 426 millones de kilos frente a los 415 millones 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de kilos en 2023.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b w:val="1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Datos que han provocado que la evolución del precio de venta de Rioja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haya bajado más del 30 % en los últimos 10 años.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Por último, destacar que el sector vitivinícola está formado por una cadena de valor que integra a agricultores, las compañías que producen y elaboran los vinos, distribuidores y comercializadores, y, por tanto,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es importante que entre todos colaboremos al unísono para impulsar un sector clave de nuestra economía.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Asimismo, hay que tener en cuenta que estamos en un mercado global, es decir, los precios, no solo dependen de los actores nacionales, sino que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6d7475"/>
          <w:sz w:val="19"/>
          <w:szCs w:val="19"/>
          <w:rtl w:val="0"/>
        </w:rPr>
        <w:t xml:space="preserve"> vienen condicionados por el contexto de economía globalizada en el que nos movemo</w:t>
      </w:r>
      <w:r w:rsidDel="00000000" w:rsidR="00000000" w:rsidRPr="00000000">
        <w:rPr>
          <w:rFonts w:ascii="Open Sans" w:cs="Open Sans" w:eastAsia="Open Sans" w:hAnsi="Open Sans"/>
          <w:i w:val="1"/>
          <w:color w:val="6d7475"/>
          <w:sz w:val="19"/>
          <w:szCs w:val="19"/>
          <w:rtl w:val="0"/>
        </w:rPr>
        <w:t xml:space="preserve">s. Los mercados fluctúan en base a las cosechas y a las demandas mundiales. En este sentido, hay que subrayar que existe una tendencia de consumo a nivel mundial mayor de vino blanco que de vino tinto, por tanto, es lógico que la uva blanca se pague a mayor precio que la uva tinta.</w:t>
      </w:r>
    </w:p>
    <w:p w:rsidR="00000000" w:rsidDel="00000000" w:rsidP="00000000" w:rsidRDefault="00000000" w:rsidRPr="00000000" w14:paraId="0000000E">
      <w:pPr>
        <w:spacing w:after="200" w:line="240" w:lineRule="auto"/>
        <w:ind w:left="720" w:firstLine="0"/>
        <w:jc w:val="both"/>
        <w:rPr>
          <w:rFonts w:ascii="Open Sans" w:cs="Open Sans" w:eastAsia="Open Sans" w:hAnsi="Open Sans"/>
          <w:i w:val="1"/>
          <w:color w:val="6d7475"/>
          <w:sz w:val="19"/>
          <w:szCs w:val="1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1185863" cy="45898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5863" cy="4589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z2LNA7grvt5x0Cmyi1ZsFafdw==">CgMxLjA4AHIhMWN0U1ZPal93MUtoSDlOc3FMYzFZR0lvcThNbXBvZVZH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2024-09-18T17:09:00Z</dcterms:created>
  <dc:creator>Paloma Olarieta</dc:creator>
</cp:coreProperties>
</file>