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0DD2B" w14:textId="77777777" w:rsidR="00225C14" w:rsidRDefault="00225C14" w:rsidP="00225C14">
      <w:pPr>
        <w:spacing w:line="276" w:lineRule="auto"/>
        <w:jc w:val="center"/>
        <w:rPr>
          <w:rFonts w:ascii="Century Gothic" w:eastAsia="Century Gothic" w:hAnsi="Century Gothic" w:cs="Century Gothic"/>
          <w:b/>
          <w:color w:val="C55911"/>
          <w:sz w:val="20"/>
          <w:szCs w:val="20"/>
          <w:u w:val="single"/>
        </w:rPr>
      </w:pPr>
    </w:p>
    <w:p w14:paraId="2B929114" w14:textId="0B64B217" w:rsidR="00225C14" w:rsidRDefault="00225C14" w:rsidP="00225C14">
      <w:pPr>
        <w:spacing w:line="276" w:lineRule="auto"/>
        <w:jc w:val="center"/>
        <w:rPr>
          <w:rFonts w:ascii="Century Gothic" w:eastAsia="Century Gothic" w:hAnsi="Century Gothic" w:cs="Century Gothic"/>
          <w:b/>
          <w:color w:val="C55911"/>
          <w:sz w:val="20"/>
          <w:szCs w:val="20"/>
          <w:u w:val="single"/>
        </w:rPr>
      </w:pPr>
      <w:r>
        <w:rPr>
          <w:rFonts w:ascii="Century Gothic" w:eastAsia="Century Gothic" w:hAnsi="Century Gothic" w:cs="Century Gothic"/>
          <w:b/>
          <w:color w:val="C55911"/>
          <w:sz w:val="20"/>
          <w:szCs w:val="20"/>
          <w:u w:val="single"/>
        </w:rPr>
        <w:t>29 de septiembre: Día Internacional de Concienciación sobre la Pérdida y el Desperdicio de Alimentos</w:t>
      </w:r>
    </w:p>
    <w:p w14:paraId="30D47147" w14:textId="77777777" w:rsidR="00225C14" w:rsidRDefault="00225C14" w:rsidP="00225C14">
      <w:pPr>
        <w:spacing w:line="276" w:lineRule="auto"/>
        <w:jc w:val="center"/>
        <w:rPr>
          <w:rFonts w:ascii="Century Gothic" w:eastAsia="Century Gothic" w:hAnsi="Century Gothic" w:cs="Century Gothic"/>
          <w:b/>
          <w:color w:val="C55911"/>
          <w:sz w:val="20"/>
          <w:szCs w:val="20"/>
          <w:u w:val="single"/>
        </w:rPr>
      </w:pPr>
    </w:p>
    <w:p w14:paraId="610A6F6E" w14:textId="77777777" w:rsidR="00225C14" w:rsidRDefault="00225C14" w:rsidP="00225C14">
      <w:pPr>
        <w:spacing w:line="276" w:lineRule="auto"/>
        <w:jc w:val="center"/>
        <w:rPr>
          <w:rFonts w:ascii="Century Gothic" w:eastAsia="Century Gothic" w:hAnsi="Century Gothic" w:cs="Century Gothic"/>
          <w:b/>
          <w:color w:val="C55911"/>
          <w:sz w:val="34"/>
          <w:szCs w:val="34"/>
        </w:rPr>
      </w:pPr>
      <w:r>
        <w:rPr>
          <w:rFonts w:ascii="Century Gothic" w:eastAsia="Century Gothic" w:hAnsi="Century Gothic" w:cs="Century Gothic"/>
          <w:b/>
          <w:color w:val="C55911"/>
          <w:sz w:val="34"/>
          <w:szCs w:val="34"/>
        </w:rPr>
        <w:t>Las ventajas fiscales y el cambio de paradigma de las donaciones de alimentos en España, según Phenix</w:t>
      </w:r>
    </w:p>
    <w:p w14:paraId="6861C977" w14:textId="77777777" w:rsidR="00225C14" w:rsidRDefault="00225C14" w:rsidP="00225C14">
      <w:pPr>
        <w:pBdr>
          <w:top w:val="nil"/>
          <w:left w:val="nil"/>
          <w:bottom w:val="nil"/>
          <w:right w:val="nil"/>
          <w:between w:val="nil"/>
        </w:pBdr>
        <w:spacing w:line="276" w:lineRule="auto"/>
        <w:jc w:val="both"/>
        <w:rPr>
          <w:rFonts w:ascii="Century Gothic" w:eastAsia="Century Gothic" w:hAnsi="Century Gothic" w:cs="Century Gothic"/>
        </w:rPr>
      </w:pPr>
    </w:p>
    <w:p w14:paraId="0A7AD9C3" w14:textId="77777777" w:rsidR="00225C14" w:rsidRDefault="00225C14" w:rsidP="00225C14">
      <w:pPr>
        <w:numPr>
          <w:ilvl w:val="0"/>
          <w:numId w:val="1"/>
        </w:numPr>
        <w:pBdr>
          <w:top w:val="nil"/>
          <w:left w:val="nil"/>
          <w:bottom w:val="nil"/>
          <w:right w:val="nil"/>
          <w:between w:val="nil"/>
        </w:pBdr>
        <w:spacing w:line="276" w:lineRule="auto"/>
        <w:jc w:val="both"/>
        <w:rPr>
          <w:rFonts w:ascii="Century Gothic" w:eastAsia="Century Gothic" w:hAnsi="Century Gothic" w:cs="Century Gothic"/>
          <w:color w:val="000000"/>
        </w:rPr>
      </w:pPr>
      <w:r>
        <w:rPr>
          <w:rFonts w:ascii="Century Gothic" w:eastAsia="Century Gothic" w:hAnsi="Century Gothic" w:cs="Century Gothic"/>
        </w:rPr>
        <w:t xml:space="preserve">Cada vez existe más concienciación y responsabilidad ante el desperdicio alimentario. </w:t>
      </w:r>
    </w:p>
    <w:p w14:paraId="2600C729" w14:textId="77777777" w:rsidR="00225C14" w:rsidRDefault="00225C14" w:rsidP="00225C14">
      <w:pPr>
        <w:pBdr>
          <w:top w:val="nil"/>
          <w:left w:val="nil"/>
          <w:bottom w:val="nil"/>
          <w:right w:val="nil"/>
          <w:between w:val="nil"/>
        </w:pBdr>
        <w:spacing w:line="276" w:lineRule="auto"/>
        <w:ind w:left="720"/>
        <w:jc w:val="both"/>
        <w:rPr>
          <w:rFonts w:ascii="Century Gothic" w:eastAsia="Century Gothic" w:hAnsi="Century Gothic" w:cs="Century Gothic"/>
        </w:rPr>
      </w:pPr>
    </w:p>
    <w:p w14:paraId="06E54804" w14:textId="77777777" w:rsidR="00225C14" w:rsidRDefault="00225C14" w:rsidP="00225C14">
      <w:pPr>
        <w:numPr>
          <w:ilvl w:val="0"/>
          <w:numId w:val="1"/>
        </w:numPr>
        <w:pBdr>
          <w:top w:val="nil"/>
          <w:left w:val="nil"/>
          <w:bottom w:val="nil"/>
          <w:right w:val="nil"/>
          <w:between w:val="nil"/>
        </w:pBdr>
        <w:spacing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Tras la reforma de la ley de Mecenazgo, en España, las entidades jurídicas pueden deducir un 40% del importe de los donativos del impuesto de sociedades. </w:t>
      </w:r>
    </w:p>
    <w:p w14:paraId="250865F2" w14:textId="77777777" w:rsidR="00225C14" w:rsidRDefault="00225C14" w:rsidP="00225C14">
      <w:pPr>
        <w:pBdr>
          <w:top w:val="nil"/>
          <w:left w:val="nil"/>
          <w:bottom w:val="nil"/>
          <w:right w:val="nil"/>
          <w:between w:val="nil"/>
        </w:pBdr>
        <w:ind w:left="720"/>
        <w:rPr>
          <w:rFonts w:ascii="Century Gothic" w:eastAsia="Century Gothic" w:hAnsi="Century Gothic" w:cs="Century Gothic"/>
          <w:color w:val="000000"/>
        </w:rPr>
      </w:pPr>
    </w:p>
    <w:p w14:paraId="4E3BB9FF" w14:textId="77777777" w:rsidR="00225C14" w:rsidRDefault="00225C14" w:rsidP="00225C14">
      <w:pPr>
        <w:numPr>
          <w:ilvl w:val="0"/>
          <w:numId w:val="1"/>
        </w:numPr>
        <w:pBdr>
          <w:top w:val="nil"/>
          <w:left w:val="nil"/>
          <w:bottom w:val="nil"/>
          <w:right w:val="nil"/>
          <w:between w:val="nil"/>
        </w:pBdr>
        <w:spacing w:line="276" w:lineRule="auto"/>
        <w:jc w:val="both"/>
        <w:rPr>
          <w:rFonts w:ascii="Century Gothic" w:eastAsia="Century Gothic" w:hAnsi="Century Gothic" w:cs="Century Gothic"/>
          <w:color w:val="000000"/>
        </w:rPr>
      </w:pPr>
      <w:r>
        <w:rPr>
          <w:rFonts w:ascii="Century Gothic" w:eastAsia="Century Gothic" w:hAnsi="Century Gothic" w:cs="Century Gothic"/>
        </w:rPr>
        <w:t xml:space="preserve">Se incluye la posibilidad de conseguir una mayor deducción para donaciones recurrentes, aumentando del 40% al 50% siempre y cuando la cantidad donada se mantenga o incremente durante 3 años consecutivos. </w:t>
      </w:r>
    </w:p>
    <w:p w14:paraId="645B579B" w14:textId="77777777" w:rsidR="00225C14" w:rsidRDefault="00225C14" w:rsidP="00225C14">
      <w:pPr>
        <w:pBdr>
          <w:top w:val="nil"/>
          <w:left w:val="nil"/>
          <w:bottom w:val="nil"/>
          <w:right w:val="nil"/>
          <w:between w:val="nil"/>
        </w:pBdr>
        <w:ind w:left="720"/>
        <w:rPr>
          <w:rFonts w:ascii="Century Gothic" w:eastAsia="Century Gothic" w:hAnsi="Century Gothic" w:cs="Century Gothic"/>
          <w:color w:val="000000"/>
        </w:rPr>
      </w:pPr>
    </w:p>
    <w:p w14:paraId="1F3CCBB3" w14:textId="24D06C5D" w:rsidR="00225C14" w:rsidRDefault="00225C14" w:rsidP="00225C14">
      <w:pPr>
        <w:spacing w:after="200" w:line="276" w:lineRule="auto"/>
        <w:jc w:val="both"/>
        <w:rPr>
          <w:rFonts w:ascii="Century Gothic" w:eastAsia="Century Gothic" w:hAnsi="Century Gothic" w:cs="Century Gothic"/>
        </w:rPr>
      </w:pPr>
      <w:r>
        <w:rPr>
          <w:rFonts w:ascii="Century Gothic" w:eastAsia="Century Gothic" w:hAnsi="Century Gothic" w:cs="Century Gothic"/>
          <w:b/>
        </w:rPr>
        <w:t>Madrid, 2</w:t>
      </w:r>
      <w:r w:rsidR="00C84BFA">
        <w:rPr>
          <w:rFonts w:ascii="Century Gothic" w:eastAsia="Century Gothic" w:hAnsi="Century Gothic" w:cs="Century Gothic"/>
          <w:b/>
        </w:rPr>
        <w:t>6</w:t>
      </w:r>
      <w:r>
        <w:rPr>
          <w:rFonts w:ascii="Century Gothic" w:eastAsia="Century Gothic" w:hAnsi="Century Gothic" w:cs="Century Gothic"/>
          <w:b/>
        </w:rPr>
        <w:t xml:space="preserve"> de septiembre de 2024.-</w:t>
      </w:r>
      <w:r>
        <w:rPr>
          <w:rFonts w:ascii="Century Gothic" w:eastAsia="Century Gothic" w:hAnsi="Century Gothic" w:cs="Century Gothic"/>
        </w:rPr>
        <w:t xml:space="preserve"> Las donaciones de alimentos juegan un papel crucial en nuestra sociedad, abordando uno de los problemas más importantes en la actualidad: el desperdicio, que no solo tiene un impacto negativo en el medio ambiente sino también en la sociedad y en la economía. </w:t>
      </w:r>
    </w:p>
    <w:p w14:paraId="7A5F4533" w14:textId="77777777" w:rsidR="00225C14" w:rsidRDefault="00225C14" w:rsidP="00225C14">
      <w:pPr>
        <w:spacing w:after="200" w:line="276" w:lineRule="auto"/>
        <w:jc w:val="both"/>
        <w:rPr>
          <w:rFonts w:ascii="Century Gothic" w:eastAsia="Century Gothic" w:hAnsi="Century Gothic" w:cs="Century Gothic"/>
        </w:rPr>
      </w:pPr>
      <w:r>
        <w:rPr>
          <w:rFonts w:ascii="Century Gothic" w:eastAsia="Century Gothic" w:hAnsi="Century Gothic" w:cs="Century Gothic"/>
          <w:b/>
        </w:rPr>
        <w:t>En el marco del Día Internacional de Concienciación sobre la Pérdida y el Desperdicio de Alimentos,</w:t>
      </w:r>
      <w:r>
        <w:rPr>
          <w:rFonts w:ascii="Century Gothic" w:eastAsia="Century Gothic" w:hAnsi="Century Gothic" w:cs="Century Gothic"/>
        </w:rPr>
        <w:t xml:space="preserve"> que tiene lugar el 29 de septiembre, </w:t>
      </w:r>
      <w:hyperlink r:id="rId7">
        <w:r>
          <w:rPr>
            <w:rFonts w:ascii="Century Gothic" w:eastAsia="Century Gothic" w:hAnsi="Century Gothic" w:cs="Century Gothic"/>
            <w:color w:val="1155CC"/>
            <w:u w:val="single"/>
          </w:rPr>
          <w:t>Phenix</w:t>
        </w:r>
      </w:hyperlink>
      <w:r>
        <w:rPr>
          <w:rFonts w:ascii="Century Gothic" w:eastAsia="Century Gothic" w:hAnsi="Century Gothic" w:cs="Century Gothic"/>
        </w:rPr>
        <w:t xml:space="preserve">, empresa que ayuda a las empresas a optimizar su excedente alimentario, señala que, </w:t>
      </w:r>
      <w:r>
        <w:rPr>
          <w:rFonts w:ascii="Century Gothic" w:eastAsia="Century Gothic" w:hAnsi="Century Gothic" w:cs="Century Gothic"/>
          <w:b/>
        </w:rPr>
        <w:t>con las donaciones, ayudamos a reducir el desperdicio al canalizar productos hacia quienes más lo necesitan y destaca las ventajas para los donantes: fiscales, legales, económicas, reputacionales y de talento</w:t>
      </w:r>
      <w:r>
        <w:rPr>
          <w:rFonts w:ascii="Century Gothic" w:eastAsia="Century Gothic" w:hAnsi="Century Gothic" w:cs="Century Gothic"/>
        </w:rPr>
        <w:t>. Además, indica que una correcta gestión puede tener repercusiones muy positivas en la rentabilidad del supermercado o del fabricante de alimentos.</w:t>
      </w:r>
    </w:p>
    <w:p w14:paraId="33EEB80E" w14:textId="77777777" w:rsidR="00225C14" w:rsidRDefault="00225C14" w:rsidP="00225C14">
      <w:pPr>
        <w:spacing w:after="200" w:line="276" w:lineRule="auto"/>
        <w:jc w:val="both"/>
        <w:rPr>
          <w:rFonts w:ascii="Century Gothic" w:eastAsia="Century Gothic" w:hAnsi="Century Gothic" w:cs="Century Gothic"/>
          <w:b/>
        </w:rPr>
      </w:pPr>
      <w:r>
        <w:rPr>
          <w:rFonts w:ascii="Century Gothic" w:eastAsia="Century Gothic" w:hAnsi="Century Gothic" w:cs="Century Gothic"/>
          <w:b/>
        </w:rPr>
        <w:t>Cambio de paradigma: económico, social, legal y fiscal</w:t>
      </w:r>
    </w:p>
    <w:p w14:paraId="6817B4BE" w14:textId="77777777" w:rsidR="00225C14" w:rsidRDefault="00225C14" w:rsidP="00225C14">
      <w:pPr>
        <w:spacing w:after="200" w:line="276" w:lineRule="auto"/>
        <w:jc w:val="both"/>
        <w:rPr>
          <w:rFonts w:ascii="Century Gothic" w:eastAsia="Century Gothic" w:hAnsi="Century Gothic" w:cs="Century Gothic"/>
        </w:rPr>
      </w:pPr>
      <w:r>
        <w:rPr>
          <w:rFonts w:ascii="Century Gothic" w:eastAsia="Century Gothic" w:hAnsi="Century Gothic" w:cs="Century Gothic"/>
          <w:b/>
        </w:rPr>
        <w:t>En España, las donaciones de alimentos han experimentado un cambio de paradigma significativo. Hemos pasado de la percepción de que “tirar es más barato que donar” a reconocer que la donación, además de ser más beneficiosa desde el punto de vista social y medioambiental, también lo es económicamente</w:t>
      </w:r>
      <w:r>
        <w:rPr>
          <w:rFonts w:ascii="Roboto" w:eastAsia="Roboto" w:hAnsi="Roboto" w:cs="Roboto"/>
          <w:b/>
          <w:color w:val="444746"/>
          <w:sz w:val="21"/>
          <w:szCs w:val="21"/>
        </w:rPr>
        <w:t>.</w:t>
      </w:r>
      <w:r>
        <w:rPr>
          <w:rFonts w:ascii="Century Gothic" w:eastAsia="Century Gothic" w:hAnsi="Century Gothic" w:cs="Century Gothic"/>
          <w:b/>
        </w:rPr>
        <w:t xml:space="preserve"> </w:t>
      </w:r>
      <w:r>
        <w:rPr>
          <w:rFonts w:ascii="Century Gothic" w:eastAsia="Century Gothic" w:hAnsi="Century Gothic" w:cs="Century Gothic"/>
        </w:rPr>
        <w:t>En este sentido,</w:t>
      </w:r>
      <w:r>
        <w:rPr>
          <w:rFonts w:ascii="Century Gothic" w:eastAsia="Century Gothic" w:hAnsi="Century Gothic" w:cs="Century Gothic"/>
          <w:b/>
        </w:rPr>
        <w:t xml:space="preserve"> </w:t>
      </w:r>
      <w:r>
        <w:rPr>
          <w:rFonts w:ascii="Century Gothic" w:eastAsia="Century Gothic" w:hAnsi="Century Gothic" w:cs="Century Gothic"/>
        </w:rPr>
        <w:t xml:space="preserve">desde Phenix señalan que cada vez existe </w:t>
      </w:r>
      <w:r>
        <w:rPr>
          <w:rFonts w:ascii="Century Gothic" w:eastAsia="Century Gothic" w:hAnsi="Century Gothic" w:cs="Century Gothic"/>
          <w:b/>
        </w:rPr>
        <w:t>más concienciación y responsabilidad ante el desperdicio alimentario.</w:t>
      </w:r>
    </w:p>
    <w:p w14:paraId="707DDE0C" w14:textId="77777777" w:rsidR="00225C14" w:rsidRDefault="00225C14" w:rsidP="00225C14">
      <w:pPr>
        <w:spacing w:after="200" w:line="276" w:lineRule="auto"/>
        <w:jc w:val="both"/>
        <w:rPr>
          <w:rFonts w:ascii="Century Gothic" w:eastAsia="Century Gothic" w:hAnsi="Century Gothic" w:cs="Century Gothic"/>
          <w:b/>
        </w:rPr>
      </w:pPr>
      <w:r>
        <w:rPr>
          <w:rFonts w:ascii="Century Gothic" w:eastAsia="Century Gothic" w:hAnsi="Century Gothic" w:cs="Century Gothic"/>
        </w:rPr>
        <w:lastRenderedPageBreak/>
        <w:t>Todo ello en un contexto protagonizado por el cambio del marco legal y fiscal en España, que favorece las donaciones a asociaciones y la reducción de las pérdidas y desperdicio alimentario para una economía circular. A principios de año,</w:t>
      </w:r>
      <w:r>
        <w:rPr>
          <w:rFonts w:ascii="Century Gothic" w:eastAsia="Century Gothic" w:hAnsi="Century Gothic" w:cs="Century Gothic"/>
          <w:b/>
        </w:rPr>
        <w:t xml:space="preserve"> el Consejo de </w:t>
      </w:r>
      <w:proofErr w:type="gramStart"/>
      <w:r>
        <w:rPr>
          <w:rFonts w:ascii="Century Gothic" w:eastAsia="Century Gothic" w:hAnsi="Century Gothic" w:cs="Century Gothic"/>
          <w:b/>
        </w:rPr>
        <w:t>Ministros</w:t>
      </w:r>
      <w:proofErr w:type="gramEnd"/>
      <w:r>
        <w:rPr>
          <w:rFonts w:ascii="Century Gothic" w:eastAsia="Century Gothic" w:hAnsi="Century Gothic" w:cs="Century Gothic"/>
          <w:b/>
        </w:rPr>
        <w:t xml:space="preserve"> de España aprobó el proyecto de </w:t>
      </w:r>
      <w:hyperlink r:id="rId8">
        <w:r>
          <w:rPr>
            <w:rFonts w:ascii="Century Gothic" w:eastAsia="Century Gothic" w:hAnsi="Century Gothic" w:cs="Century Gothic"/>
            <w:b/>
            <w:color w:val="0563C1"/>
            <w:u w:val="single"/>
          </w:rPr>
          <w:t>ley de Prevención de las Pérdidas y el Desperdicio Alimentario</w:t>
        </w:r>
      </w:hyperlink>
      <w:r>
        <w:rPr>
          <w:rFonts w:ascii="Century Gothic" w:eastAsia="Century Gothic" w:hAnsi="Century Gothic" w:cs="Century Gothic"/>
        </w:rPr>
        <w:t>. La norma, que entrará en vigor en breve, pone el foco en la importancia de donar los excedentes alimentarios a lo largo de toda la cadena de suministro. Se trata de un proyecto que está en línea con el cumplimiento de los Objetivos de Desarrollo Sostenible, de la Agenda 2030 de Naciones Unidas.</w:t>
      </w:r>
    </w:p>
    <w:p w14:paraId="27BC6A52" w14:textId="77777777" w:rsidR="00225C14" w:rsidRDefault="00225C14" w:rsidP="00225C14">
      <w:pPr>
        <w:spacing w:after="200" w:line="276" w:lineRule="auto"/>
        <w:jc w:val="both"/>
        <w:rPr>
          <w:rFonts w:ascii="Century Gothic" w:eastAsia="Century Gothic" w:hAnsi="Century Gothic" w:cs="Century Gothic"/>
          <w:b/>
        </w:rPr>
      </w:pPr>
      <w:r>
        <w:rPr>
          <w:rFonts w:ascii="Century Gothic" w:eastAsia="Century Gothic" w:hAnsi="Century Gothic" w:cs="Century Gothic"/>
          <w:b/>
        </w:rPr>
        <w:t>Ventajas: Impuesto de sociedades (IS) e Impuesto sobre el Valor Añadido (IVA)</w:t>
      </w:r>
    </w:p>
    <w:p w14:paraId="02479E4A" w14:textId="77777777" w:rsidR="00225C14" w:rsidRDefault="00225C14" w:rsidP="00225C14">
      <w:pPr>
        <w:spacing w:after="200" w:line="276" w:lineRule="auto"/>
        <w:jc w:val="both"/>
        <w:rPr>
          <w:rFonts w:ascii="Century Gothic" w:eastAsia="Century Gothic" w:hAnsi="Century Gothic" w:cs="Century Gothic"/>
        </w:rPr>
      </w:pPr>
      <w:r>
        <w:rPr>
          <w:rFonts w:ascii="Century Gothic" w:eastAsia="Century Gothic" w:hAnsi="Century Gothic" w:cs="Century Gothic"/>
        </w:rPr>
        <w:t xml:space="preserve">Las donaciones no son consideradas como gasto deducible en el Impuesto de Sociedades. Sin embargo, los expertos de Phenix señalan que es posible obtener deducciones fiscales en la cuota, siempre y cuando la entidad receptora de la donación (fundación o asociación) haya optado por el régimen fiscal especial establecido en la Ley 49/2002, y sea reconocida de utilidad pública. </w:t>
      </w:r>
    </w:p>
    <w:p w14:paraId="10902FD6" w14:textId="77777777" w:rsidR="00225C14" w:rsidRDefault="00225C14" w:rsidP="00225C14">
      <w:pPr>
        <w:spacing w:after="200" w:line="276" w:lineRule="auto"/>
        <w:jc w:val="both"/>
        <w:rPr>
          <w:rFonts w:ascii="Century Gothic" w:eastAsia="Century Gothic" w:hAnsi="Century Gothic" w:cs="Century Gothic"/>
        </w:rPr>
      </w:pPr>
      <w:r>
        <w:rPr>
          <w:rFonts w:ascii="Century Gothic" w:eastAsia="Century Gothic" w:hAnsi="Century Gothic" w:cs="Century Gothic"/>
          <w:b/>
        </w:rPr>
        <w:t xml:space="preserve">Ahora, </w:t>
      </w:r>
      <w:hyperlink r:id="rId9">
        <w:r>
          <w:rPr>
            <w:rFonts w:ascii="Century Gothic" w:eastAsia="Century Gothic" w:hAnsi="Century Gothic" w:cs="Century Gothic"/>
            <w:b/>
            <w:color w:val="0563C1"/>
            <w:u w:val="single"/>
          </w:rPr>
          <w:t>tras la reforma de la ley de Mecenazgo</w:t>
        </w:r>
      </w:hyperlink>
      <w:r>
        <w:rPr>
          <w:rFonts w:ascii="Century Gothic" w:eastAsia="Century Gothic" w:hAnsi="Century Gothic" w:cs="Century Gothic"/>
          <w:b/>
        </w:rPr>
        <w:t xml:space="preserve"> que entró en vigor el pasado 1 de enero de 2024, en España, las entidades jurídicas pueden deducir un 40% del importe de los donativos del impuesto de sociedades a valor contable</w:t>
      </w:r>
      <w:r>
        <w:rPr>
          <w:rFonts w:ascii="Century Gothic" w:eastAsia="Century Gothic" w:hAnsi="Century Gothic" w:cs="Century Gothic"/>
        </w:rPr>
        <w:t>. Se incluye la posibilidad de conseguir una mayor deducción para donaciones recurrentes,</w:t>
      </w:r>
      <w:r>
        <w:rPr>
          <w:rFonts w:ascii="Century Gothic" w:eastAsia="Century Gothic" w:hAnsi="Century Gothic" w:cs="Century Gothic"/>
          <w:b/>
        </w:rPr>
        <w:t xml:space="preserve"> aumentando del 40% al 50% siempre y cuando la cantidad donada se mantenga o incremente durante 3 años consecutivos</w:t>
      </w:r>
      <w:r>
        <w:rPr>
          <w:rFonts w:ascii="Century Gothic" w:eastAsia="Century Gothic" w:hAnsi="Century Gothic" w:cs="Century Gothic"/>
        </w:rPr>
        <w:t>.</w:t>
      </w:r>
    </w:p>
    <w:p w14:paraId="0687EC01" w14:textId="77777777" w:rsidR="00225C14" w:rsidRDefault="00225C14" w:rsidP="00225C14">
      <w:pPr>
        <w:spacing w:after="200" w:line="276" w:lineRule="auto"/>
        <w:jc w:val="both"/>
        <w:rPr>
          <w:rFonts w:ascii="Century Gothic" w:eastAsia="Century Gothic" w:hAnsi="Century Gothic" w:cs="Century Gothic"/>
        </w:rPr>
      </w:pPr>
      <w:r>
        <w:rPr>
          <w:rFonts w:ascii="Century Gothic" w:eastAsia="Century Gothic" w:hAnsi="Century Gothic" w:cs="Century Gothic"/>
        </w:rPr>
        <w:t xml:space="preserve">Las donaciones de alimentos </w:t>
      </w:r>
      <w:r>
        <w:rPr>
          <w:rFonts w:ascii="Century Gothic" w:eastAsia="Century Gothic" w:hAnsi="Century Gothic" w:cs="Century Gothic"/>
          <w:b/>
        </w:rPr>
        <w:t>pueden beneficiarse, también, de la exención del Impuesto sobre el Valor Añadido (IVA)</w:t>
      </w:r>
      <w:r>
        <w:rPr>
          <w:rFonts w:ascii="Century Gothic" w:eastAsia="Century Gothic" w:hAnsi="Century Gothic" w:cs="Century Gothic"/>
        </w:rPr>
        <w:t xml:space="preserve">, siempre que se realicen a entidades sin ánimo de lucro que cumplan con los requisitos establecidos por la normativa vigente: </w:t>
      </w:r>
      <w:hyperlink r:id="rId10">
        <w:r>
          <w:rPr>
            <w:rFonts w:ascii="Century Gothic" w:eastAsia="Century Gothic" w:hAnsi="Century Gothic" w:cs="Century Gothic"/>
            <w:color w:val="0563C1"/>
            <w:u w:val="single"/>
          </w:rPr>
          <w:t>Ley 7/2022, de 8 de abril de 2022, de residuos y suelos contaminados para una economía circular</w:t>
        </w:r>
      </w:hyperlink>
      <w:r>
        <w:rPr>
          <w:rFonts w:ascii="Century Gothic" w:eastAsia="Century Gothic" w:hAnsi="Century Gothic" w:cs="Century Gothic"/>
        </w:rPr>
        <w:t xml:space="preserve">. </w:t>
      </w:r>
    </w:p>
    <w:p w14:paraId="2775A2E1" w14:textId="77777777" w:rsidR="00225C14" w:rsidRDefault="00225C14" w:rsidP="00225C14">
      <w:pPr>
        <w:spacing w:after="200" w:line="276" w:lineRule="auto"/>
        <w:jc w:val="both"/>
        <w:rPr>
          <w:rFonts w:ascii="Century Gothic" w:eastAsia="Century Gothic" w:hAnsi="Century Gothic" w:cs="Century Gothic"/>
          <w:b/>
        </w:rPr>
      </w:pPr>
      <w:r>
        <w:rPr>
          <w:rFonts w:ascii="Century Gothic" w:eastAsia="Century Gothic" w:hAnsi="Century Gothic" w:cs="Century Gothic"/>
          <w:b/>
        </w:rPr>
        <w:t>Documentación y requisitos</w:t>
      </w:r>
    </w:p>
    <w:p w14:paraId="66F65446" w14:textId="77777777" w:rsidR="00225C14" w:rsidRDefault="00225C14" w:rsidP="00225C14">
      <w:pPr>
        <w:spacing w:after="200" w:line="276" w:lineRule="auto"/>
        <w:jc w:val="both"/>
        <w:rPr>
          <w:rFonts w:ascii="Century Gothic" w:eastAsia="Century Gothic" w:hAnsi="Century Gothic" w:cs="Century Gothic"/>
        </w:rPr>
      </w:pPr>
      <w:r>
        <w:rPr>
          <w:rFonts w:ascii="Century Gothic" w:eastAsia="Century Gothic" w:hAnsi="Century Gothic" w:cs="Century Gothic"/>
        </w:rPr>
        <w:t xml:space="preserve">Desde Phenix insisten en que las empresas deben asegurarse de contar con la documentación adecuada que certifique la realización de la donación y la recepción por parte de la entidad beneficiaria. Además, </w:t>
      </w:r>
      <w:r>
        <w:rPr>
          <w:rFonts w:ascii="Century Gothic" w:eastAsia="Century Gothic" w:hAnsi="Century Gothic" w:cs="Century Gothic"/>
          <w:b/>
        </w:rPr>
        <w:t>todas las donaciones deberán cumplir con las normas de seguridad alimentaria</w:t>
      </w:r>
      <w:r>
        <w:rPr>
          <w:rFonts w:ascii="Century Gothic" w:eastAsia="Century Gothic" w:hAnsi="Century Gothic" w:cs="Century Gothic"/>
        </w:rPr>
        <w:t xml:space="preserve">. Al no haber una normativa legal específica que regule los actos de donación de alimentos, la donación se considera una forma de comercialización y, por lo tanto, la empresa donadora y la entidad social que distribuye alimentos están sujetas a las normas generales sobre seguridad e higiene alimentarias, conforme al </w:t>
      </w:r>
      <w:hyperlink r:id="rId11">
        <w:r>
          <w:rPr>
            <w:rFonts w:ascii="Century Gothic" w:eastAsia="Century Gothic" w:hAnsi="Century Gothic" w:cs="Century Gothic"/>
            <w:color w:val="0563C1"/>
            <w:u w:val="single"/>
          </w:rPr>
          <w:t xml:space="preserve">Reglamento (CE) </w:t>
        </w:r>
        <w:proofErr w:type="spellStart"/>
        <w:r>
          <w:rPr>
            <w:rFonts w:ascii="Century Gothic" w:eastAsia="Century Gothic" w:hAnsi="Century Gothic" w:cs="Century Gothic"/>
            <w:color w:val="0563C1"/>
            <w:u w:val="single"/>
          </w:rPr>
          <w:t>nº</w:t>
        </w:r>
        <w:proofErr w:type="spellEnd"/>
        <w:r>
          <w:rPr>
            <w:rFonts w:ascii="Century Gothic" w:eastAsia="Century Gothic" w:hAnsi="Century Gothic" w:cs="Century Gothic"/>
            <w:color w:val="0563C1"/>
            <w:u w:val="single"/>
          </w:rPr>
          <w:t xml:space="preserve"> 178/2002</w:t>
        </w:r>
      </w:hyperlink>
      <w:r>
        <w:rPr>
          <w:rFonts w:ascii="Century Gothic" w:eastAsia="Century Gothic" w:hAnsi="Century Gothic" w:cs="Century Gothic"/>
        </w:rPr>
        <w:t xml:space="preserve">. </w:t>
      </w:r>
    </w:p>
    <w:p w14:paraId="130BE6A9" w14:textId="77777777" w:rsidR="00225C14" w:rsidRDefault="00225C14" w:rsidP="00225C14">
      <w:pPr>
        <w:spacing w:after="200" w:line="276" w:lineRule="auto"/>
        <w:jc w:val="both"/>
        <w:rPr>
          <w:b/>
        </w:rPr>
      </w:pPr>
      <w:r>
        <w:rPr>
          <w:rFonts w:ascii="Century Gothic" w:eastAsia="Century Gothic" w:hAnsi="Century Gothic" w:cs="Century Gothic"/>
        </w:rPr>
        <w:t xml:space="preserve">“La donación es una de las grandes herramientas para reducir el desperdicio alimentario, reforzar la lucha contra el hambre y la pobreza, y minimizar el impacto medioambiental de la producción de alimentos. Además, una </w:t>
      </w:r>
      <w:r>
        <w:rPr>
          <w:rFonts w:ascii="Century Gothic" w:eastAsia="Century Gothic" w:hAnsi="Century Gothic" w:cs="Century Gothic"/>
        </w:rPr>
        <w:lastRenderedPageBreak/>
        <w:t xml:space="preserve">implementación eficaz de un sistema de gestión integral de las donaciones no solo fortalece nuestro compromiso social, sino que también se convierte en una herramienta clave para mejorar la eficiencia operativa y generar rentabilidad para la empresa” ha señalado </w:t>
      </w:r>
      <w:r>
        <w:rPr>
          <w:rFonts w:ascii="Century Gothic" w:eastAsia="Century Gothic" w:hAnsi="Century Gothic" w:cs="Century Gothic"/>
          <w:b/>
        </w:rPr>
        <w:t xml:space="preserve">Jean-Baptiste </w:t>
      </w:r>
      <w:proofErr w:type="spellStart"/>
      <w:r>
        <w:rPr>
          <w:rFonts w:ascii="Century Gothic" w:eastAsia="Century Gothic" w:hAnsi="Century Gothic" w:cs="Century Gothic"/>
          <w:b/>
        </w:rPr>
        <w:t>Boubault</w:t>
      </w:r>
      <w:proofErr w:type="spellEnd"/>
      <w:r>
        <w:rPr>
          <w:rFonts w:ascii="Century Gothic" w:eastAsia="Century Gothic" w:hAnsi="Century Gothic" w:cs="Century Gothic"/>
          <w:b/>
        </w:rPr>
        <w:t>, Country Manager de Phenix en España</w:t>
      </w:r>
      <w:r>
        <w:rPr>
          <w:rFonts w:ascii="Century Gothic" w:eastAsia="Century Gothic" w:hAnsi="Century Gothic" w:cs="Century Gothic"/>
        </w:rPr>
        <w:t>.</w:t>
      </w:r>
    </w:p>
    <w:p w14:paraId="4A9CA415" w14:textId="77777777" w:rsidR="00225C14" w:rsidRDefault="00225C14" w:rsidP="00225C14">
      <w:pPr>
        <w:numPr>
          <w:ilvl w:val="0"/>
          <w:numId w:val="2"/>
        </w:numPr>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FIN   -</w:t>
      </w:r>
    </w:p>
    <w:p w14:paraId="764F866D" w14:textId="77777777" w:rsidR="00225C14" w:rsidRDefault="00225C14" w:rsidP="00225C14">
      <w:pPr>
        <w:ind w:left="720"/>
        <w:rPr>
          <w:rFonts w:ascii="Century Gothic" w:eastAsia="Century Gothic" w:hAnsi="Century Gothic" w:cs="Century Gothic"/>
          <w:color w:val="000000"/>
          <w:sz w:val="20"/>
          <w:szCs w:val="20"/>
        </w:rPr>
      </w:pPr>
    </w:p>
    <w:p w14:paraId="63E50AC4" w14:textId="77777777" w:rsidR="00225C14" w:rsidRDefault="00225C14" w:rsidP="00225C14">
      <w:pPr>
        <w:rPr>
          <w:sz w:val="18"/>
          <w:szCs w:val="18"/>
        </w:rPr>
      </w:pPr>
    </w:p>
    <w:p w14:paraId="64DAF51E" w14:textId="77777777" w:rsidR="00225C14" w:rsidRDefault="00225C14" w:rsidP="00225C14">
      <w:pPr>
        <w:rPr>
          <w:sz w:val="18"/>
          <w:szCs w:val="18"/>
        </w:rPr>
      </w:pPr>
    </w:p>
    <w:p w14:paraId="3EFA59AA" w14:textId="77777777" w:rsidR="00225C14" w:rsidRDefault="00225C14" w:rsidP="00225C14">
      <w:pPr>
        <w:rPr>
          <w:sz w:val="18"/>
          <w:szCs w:val="18"/>
        </w:rPr>
      </w:pPr>
      <w:r>
        <w:rPr>
          <w:sz w:val="18"/>
          <w:szCs w:val="18"/>
        </w:rPr>
        <w:t>***</w:t>
      </w:r>
    </w:p>
    <w:p w14:paraId="254E9977" w14:textId="77777777" w:rsidR="00225C14" w:rsidRDefault="00225C14" w:rsidP="00225C14">
      <w:pPr>
        <w:rPr>
          <w:b/>
          <w:sz w:val="18"/>
          <w:szCs w:val="18"/>
        </w:rPr>
      </w:pPr>
      <w:r>
        <w:rPr>
          <w:b/>
          <w:sz w:val="18"/>
          <w:szCs w:val="18"/>
        </w:rPr>
        <w:t>Sobre Phenix</w:t>
      </w:r>
    </w:p>
    <w:p w14:paraId="53622160" w14:textId="77777777" w:rsidR="00225C14" w:rsidRDefault="00225C14" w:rsidP="00225C14">
      <w:pPr>
        <w:jc w:val="both"/>
        <w:rPr>
          <w:sz w:val="18"/>
          <w:szCs w:val="18"/>
        </w:rPr>
      </w:pPr>
      <w:r>
        <w:rPr>
          <w:sz w:val="18"/>
          <w:szCs w:val="18"/>
        </w:rPr>
        <w:t>Phenix es una compañía que ayuda a optimizar el excedente alimentario de las empresas,</w:t>
      </w:r>
      <w:r>
        <w:t xml:space="preserve"> </w:t>
      </w:r>
      <w:r>
        <w:rPr>
          <w:sz w:val="18"/>
          <w:szCs w:val="18"/>
        </w:rPr>
        <w:t xml:space="preserve">en toda la cadena de valor del producto: producción, transformación, distribución y comercialización, mediante soluciones tecnológicas y de gestión eficiente. Nació en el 2014 en Francia con una misión muy clara: reducir el desperdicio alimentario, una problemática global con graves impactos económicos, sociales y medioambientales. Actualmente, es líder en el mercado francés y está en plena consolidación en España y Portugal con más de 200 empleados en total. </w:t>
      </w:r>
    </w:p>
    <w:p w14:paraId="76A75416" w14:textId="77777777" w:rsidR="00225C14" w:rsidRDefault="00225C14" w:rsidP="00225C14">
      <w:pPr>
        <w:jc w:val="both"/>
        <w:rPr>
          <w:sz w:val="18"/>
          <w:szCs w:val="18"/>
        </w:rPr>
      </w:pPr>
    </w:p>
    <w:p w14:paraId="0C51C5A2" w14:textId="77777777" w:rsidR="00225C14" w:rsidRDefault="00225C14" w:rsidP="00225C14">
      <w:pPr>
        <w:jc w:val="both"/>
        <w:rPr>
          <w:color w:val="0000FF"/>
          <w:sz w:val="16"/>
          <w:szCs w:val="16"/>
        </w:rPr>
      </w:pPr>
      <w:r>
        <w:rPr>
          <w:sz w:val="18"/>
          <w:szCs w:val="18"/>
        </w:rPr>
        <w:t>Para más información: https://www.wearephenix.com/pro/es/sectores/</w:t>
      </w:r>
    </w:p>
    <w:p w14:paraId="38179239" w14:textId="77777777" w:rsidR="00225C14" w:rsidRDefault="00225C14" w:rsidP="00225C14">
      <w:pPr>
        <w:jc w:val="right"/>
        <w:rPr>
          <w:b/>
          <w:sz w:val="20"/>
          <w:szCs w:val="20"/>
        </w:rPr>
      </w:pPr>
      <w:r>
        <w:rPr>
          <w:b/>
          <w:sz w:val="20"/>
          <w:szCs w:val="20"/>
        </w:rPr>
        <w:t>Contacto para la prensa:</w:t>
      </w:r>
    </w:p>
    <w:p w14:paraId="7B515B49" w14:textId="77777777" w:rsidR="00225C14" w:rsidRDefault="00225C14" w:rsidP="00225C14">
      <w:pPr>
        <w:jc w:val="right"/>
        <w:rPr>
          <w:b/>
          <w:sz w:val="20"/>
          <w:szCs w:val="20"/>
        </w:rPr>
      </w:pPr>
    </w:p>
    <w:p w14:paraId="7B2803C4" w14:textId="77777777" w:rsidR="00225C14" w:rsidRDefault="00225C14" w:rsidP="00225C14">
      <w:pPr>
        <w:jc w:val="right"/>
        <w:rPr>
          <w:b/>
          <w:sz w:val="20"/>
          <w:szCs w:val="20"/>
        </w:rPr>
      </w:pPr>
      <w:r>
        <w:rPr>
          <w:b/>
          <w:sz w:val="20"/>
          <w:szCs w:val="20"/>
        </w:rPr>
        <w:t xml:space="preserve">Marina Gascón Martínez de Quel </w:t>
      </w:r>
    </w:p>
    <w:p w14:paraId="492566F8" w14:textId="77777777" w:rsidR="00225C14" w:rsidRDefault="00000000" w:rsidP="00225C14">
      <w:pPr>
        <w:jc w:val="right"/>
        <w:rPr>
          <w:sz w:val="20"/>
          <w:szCs w:val="20"/>
        </w:rPr>
      </w:pPr>
      <w:hyperlink r:id="rId12">
        <w:r w:rsidR="00225C14">
          <w:rPr>
            <w:color w:val="0563C1"/>
            <w:sz w:val="20"/>
            <w:szCs w:val="20"/>
            <w:u w:val="single"/>
          </w:rPr>
          <w:t>marina.gascon@newlink-group.com</w:t>
        </w:r>
      </w:hyperlink>
      <w:r w:rsidR="00225C14">
        <w:rPr>
          <w:sz w:val="20"/>
          <w:szCs w:val="20"/>
        </w:rPr>
        <w:t xml:space="preserve"> </w:t>
      </w:r>
    </w:p>
    <w:p w14:paraId="3AEC202B" w14:textId="77777777" w:rsidR="00225C14" w:rsidRDefault="00225C14" w:rsidP="00225C14">
      <w:pPr>
        <w:jc w:val="right"/>
        <w:rPr>
          <w:sz w:val="20"/>
          <w:szCs w:val="20"/>
        </w:rPr>
      </w:pPr>
      <w:r>
        <w:rPr>
          <w:sz w:val="20"/>
          <w:szCs w:val="20"/>
        </w:rPr>
        <w:t xml:space="preserve">+ 34 651 963 459 </w:t>
      </w:r>
    </w:p>
    <w:p w14:paraId="0F9AF6ED" w14:textId="77777777" w:rsidR="00225C14" w:rsidRDefault="00225C14" w:rsidP="00225C14">
      <w:pPr>
        <w:jc w:val="right"/>
        <w:rPr>
          <w:sz w:val="20"/>
          <w:szCs w:val="20"/>
        </w:rPr>
      </w:pPr>
    </w:p>
    <w:p w14:paraId="46FFABC1" w14:textId="77777777" w:rsidR="00225C14" w:rsidRDefault="00225C14" w:rsidP="00225C14">
      <w:pPr>
        <w:jc w:val="right"/>
        <w:rPr>
          <w:b/>
          <w:sz w:val="20"/>
          <w:szCs w:val="20"/>
        </w:rPr>
      </w:pPr>
      <w:r>
        <w:rPr>
          <w:b/>
          <w:color w:val="434343"/>
          <w:sz w:val="20"/>
          <w:szCs w:val="20"/>
        </w:rPr>
        <w:t>Marí</w:t>
      </w:r>
      <w:r>
        <w:rPr>
          <w:b/>
          <w:sz w:val="20"/>
          <w:szCs w:val="20"/>
        </w:rPr>
        <w:t>a Sánchez-Girón</w:t>
      </w:r>
    </w:p>
    <w:p w14:paraId="596CD3CB" w14:textId="77777777" w:rsidR="00225C14" w:rsidRDefault="00225C14" w:rsidP="00225C14">
      <w:pPr>
        <w:jc w:val="right"/>
        <w:rPr>
          <w:sz w:val="20"/>
          <w:szCs w:val="20"/>
          <w:u w:val="single"/>
        </w:rPr>
      </w:pPr>
      <w:proofErr w:type="gramStart"/>
      <w:r>
        <w:rPr>
          <w:sz w:val="20"/>
          <w:szCs w:val="20"/>
          <w:u w:val="single"/>
        </w:rPr>
        <w:t>maria.sanchez</w:t>
      </w:r>
      <w:proofErr w:type="gramEnd"/>
      <w:r>
        <w:rPr>
          <w:sz w:val="20"/>
          <w:szCs w:val="20"/>
          <w:u w:val="single"/>
        </w:rPr>
        <w:t>-giron</w:t>
      </w:r>
      <w:hyperlink r:id="rId13">
        <w:r>
          <w:rPr>
            <w:color w:val="0563C1"/>
            <w:sz w:val="20"/>
            <w:szCs w:val="20"/>
            <w:u w:val="single"/>
          </w:rPr>
          <w:t>@newlink-group.com</w:t>
        </w:r>
      </w:hyperlink>
    </w:p>
    <w:p w14:paraId="3F05F3EE" w14:textId="77777777" w:rsidR="00225C14" w:rsidRDefault="00225C14" w:rsidP="00225C14">
      <w:pPr>
        <w:jc w:val="right"/>
        <w:rPr>
          <w:sz w:val="20"/>
          <w:szCs w:val="20"/>
          <w:u w:val="single"/>
        </w:rPr>
      </w:pPr>
      <w:r>
        <w:rPr>
          <w:sz w:val="20"/>
          <w:szCs w:val="20"/>
        </w:rPr>
        <w:t>+34 653 125 545</w:t>
      </w:r>
    </w:p>
    <w:p w14:paraId="626BBB7D" w14:textId="77777777" w:rsidR="00225C14" w:rsidRDefault="00225C14" w:rsidP="00225C14"/>
    <w:p w14:paraId="5A0495EE" w14:textId="77777777" w:rsidR="00225C14" w:rsidRDefault="00225C14" w:rsidP="00225C14">
      <w:pPr>
        <w:ind w:left="720"/>
        <w:jc w:val="both"/>
      </w:pPr>
    </w:p>
    <w:p w14:paraId="7CF8BE66" w14:textId="77777777" w:rsidR="00225C14" w:rsidRDefault="00225C14" w:rsidP="00225C14">
      <w:pPr>
        <w:pBdr>
          <w:top w:val="nil"/>
          <w:left w:val="nil"/>
          <w:bottom w:val="nil"/>
          <w:right w:val="nil"/>
          <w:between w:val="nil"/>
        </w:pBdr>
        <w:ind w:left="720"/>
        <w:jc w:val="both"/>
      </w:pPr>
    </w:p>
    <w:p w14:paraId="0834558F" w14:textId="77777777" w:rsidR="001F172C" w:rsidRDefault="001F172C"/>
    <w:sectPr w:rsidR="001F172C">
      <w:head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8C791" w14:textId="77777777" w:rsidR="006771D6" w:rsidRDefault="006771D6" w:rsidP="00990C8B">
      <w:r>
        <w:separator/>
      </w:r>
    </w:p>
  </w:endnote>
  <w:endnote w:type="continuationSeparator" w:id="0">
    <w:p w14:paraId="278E35EB" w14:textId="77777777" w:rsidR="006771D6" w:rsidRDefault="006771D6" w:rsidP="00990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46C3A4" w14:textId="77777777" w:rsidR="006771D6" w:rsidRDefault="006771D6" w:rsidP="00990C8B">
      <w:r>
        <w:separator/>
      </w:r>
    </w:p>
  </w:footnote>
  <w:footnote w:type="continuationSeparator" w:id="0">
    <w:p w14:paraId="11D5C4A6" w14:textId="77777777" w:rsidR="006771D6" w:rsidRDefault="006771D6" w:rsidP="00990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D1483" w14:textId="502A9657" w:rsidR="00990C8B" w:rsidRDefault="00990C8B" w:rsidP="00990C8B">
    <w:pPr>
      <w:pStyle w:val="Encabezado"/>
      <w:jc w:val="center"/>
    </w:pPr>
    <w:r>
      <w:rPr>
        <w:noProof/>
        <w:color w:val="000000"/>
      </w:rPr>
      <w:drawing>
        <wp:inline distT="0" distB="0" distL="0" distR="0" wp14:anchorId="0CD6796D" wp14:editId="1AFCFAB4">
          <wp:extent cx="1581524" cy="615162"/>
          <wp:effectExtent l="0" t="0" r="0" b="0"/>
          <wp:docPr id="17069348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81524" cy="61516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B65E0B"/>
    <w:multiLevelType w:val="multilevel"/>
    <w:tmpl w:val="40B4835A"/>
    <w:lvl w:ilvl="0">
      <w:numFmt w:val="bullet"/>
      <w:lvlText w:val="-"/>
      <w:lvlJc w:val="left"/>
      <w:pPr>
        <w:ind w:left="720" w:hanging="360"/>
      </w:pPr>
      <w:rPr>
        <w:rFonts w:ascii="Century Gothic" w:eastAsia="Century Gothic" w:hAnsi="Century Gothic" w:cs="Century Gothic"/>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8CE0F03"/>
    <w:multiLevelType w:val="multilevel"/>
    <w:tmpl w:val="1A2ECE78"/>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num w:numId="1" w16cid:durableId="555363540">
    <w:abstractNumId w:val="1"/>
  </w:num>
  <w:num w:numId="2" w16cid:durableId="1587421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4ED"/>
    <w:rsid w:val="001443B8"/>
    <w:rsid w:val="001F172C"/>
    <w:rsid w:val="00225C14"/>
    <w:rsid w:val="00572E45"/>
    <w:rsid w:val="006771D6"/>
    <w:rsid w:val="00990C8B"/>
    <w:rsid w:val="00A43FB3"/>
    <w:rsid w:val="00BA40D4"/>
    <w:rsid w:val="00C204ED"/>
    <w:rsid w:val="00C84BFA"/>
    <w:rsid w:val="00DE2C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FDF25"/>
  <w15:chartTrackingRefBased/>
  <w15:docId w15:val="{DD1B9A82-F29F-4B97-9365-732549F2A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C14"/>
    <w:pPr>
      <w:spacing w:after="0" w:line="240" w:lineRule="auto"/>
    </w:pPr>
    <w:rPr>
      <w:rFonts w:ascii="Calibri" w:eastAsia="Calibri" w:hAnsi="Calibri" w:cs="Calibri"/>
      <w:kern w:val="0"/>
      <w:sz w:val="22"/>
      <w:szCs w:val="22"/>
      <w:lang w:eastAsia="es-ES"/>
      <w14:ligatures w14:val="none"/>
    </w:rPr>
  </w:style>
  <w:style w:type="paragraph" w:styleId="Ttulo1">
    <w:name w:val="heading 1"/>
    <w:basedOn w:val="Normal"/>
    <w:next w:val="Normal"/>
    <w:link w:val="Ttulo1Car"/>
    <w:uiPriority w:val="9"/>
    <w:qFormat/>
    <w:rsid w:val="00C204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204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204E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204E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204E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204E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204E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204E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204E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04E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204E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204E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204E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204E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204E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204E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204E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204ED"/>
    <w:rPr>
      <w:rFonts w:eastAsiaTheme="majorEastAsia" w:cstheme="majorBidi"/>
      <w:color w:val="272727" w:themeColor="text1" w:themeTint="D8"/>
    </w:rPr>
  </w:style>
  <w:style w:type="paragraph" w:styleId="Ttulo">
    <w:name w:val="Title"/>
    <w:basedOn w:val="Normal"/>
    <w:next w:val="Normal"/>
    <w:link w:val="TtuloCar"/>
    <w:uiPriority w:val="10"/>
    <w:qFormat/>
    <w:rsid w:val="00C204E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204E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204E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204E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204ED"/>
    <w:pPr>
      <w:spacing w:before="160"/>
      <w:jc w:val="center"/>
    </w:pPr>
    <w:rPr>
      <w:i/>
      <w:iCs/>
      <w:color w:val="404040" w:themeColor="text1" w:themeTint="BF"/>
    </w:rPr>
  </w:style>
  <w:style w:type="character" w:customStyle="1" w:styleId="CitaCar">
    <w:name w:val="Cita Car"/>
    <w:basedOn w:val="Fuentedeprrafopredeter"/>
    <w:link w:val="Cita"/>
    <w:uiPriority w:val="29"/>
    <w:rsid w:val="00C204ED"/>
    <w:rPr>
      <w:i/>
      <w:iCs/>
      <w:color w:val="404040" w:themeColor="text1" w:themeTint="BF"/>
    </w:rPr>
  </w:style>
  <w:style w:type="paragraph" w:styleId="Prrafodelista">
    <w:name w:val="List Paragraph"/>
    <w:basedOn w:val="Normal"/>
    <w:uiPriority w:val="34"/>
    <w:qFormat/>
    <w:rsid w:val="00C204ED"/>
    <w:pPr>
      <w:ind w:left="720"/>
      <w:contextualSpacing/>
    </w:pPr>
  </w:style>
  <w:style w:type="character" w:styleId="nfasisintenso">
    <w:name w:val="Intense Emphasis"/>
    <w:basedOn w:val="Fuentedeprrafopredeter"/>
    <w:uiPriority w:val="21"/>
    <w:qFormat/>
    <w:rsid w:val="00C204ED"/>
    <w:rPr>
      <w:i/>
      <w:iCs/>
      <w:color w:val="0F4761" w:themeColor="accent1" w:themeShade="BF"/>
    </w:rPr>
  </w:style>
  <w:style w:type="paragraph" w:styleId="Citadestacada">
    <w:name w:val="Intense Quote"/>
    <w:basedOn w:val="Normal"/>
    <w:next w:val="Normal"/>
    <w:link w:val="CitadestacadaCar"/>
    <w:uiPriority w:val="30"/>
    <w:qFormat/>
    <w:rsid w:val="00C204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204ED"/>
    <w:rPr>
      <w:i/>
      <w:iCs/>
      <w:color w:val="0F4761" w:themeColor="accent1" w:themeShade="BF"/>
    </w:rPr>
  </w:style>
  <w:style w:type="character" w:styleId="Referenciaintensa">
    <w:name w:val="Intense Reference"/>
    <w:basedOn w:val="Fuentedeprrafopredeter"/>
    <w:uiPriority w:val="32"/>
    <w:qFormat/>
    <w:rsid w:val="00C204ED"/>
    <w:rPr>
      <w:b/>
      <w:bCs/>
      <w:smallCaps/>
      <w:color w:val="0F4761" w:themeColor="accent1" w:themeShade="BF"/>
      <w:spacing w:val="5"/>
    </w:rPr>
  </w:style>
  <w:style w:type="paragraph" w:styleId="Encabezado">
    <w:name w:val="header"/>
    <w:basedOn w:val="Normal"/>
    <w:link w:val="EncabezadoCar"/>
    <w:uiPriority w:val="99"/>
    <w:unhideWhenUsed/>
    <w:rsid w:val="00990C8B"/>
    <w:pPr>
      <w:tabs>
        <w:tab w:val="center" w:pos="4252"/>
        <w:tab w:val="right" w:pos="8504"/>
      </w:tabs>
    </w:pPr>
  </w:style>
  <w:style w:type="character" w:customStyle="1" w:styleId="EncabezadoCar">
    <w:name w:val="Encabezado Car"/>
    <w:basedOn w:val="Fuentedeprrafopredeter"/>
    <w:link w:val="Encabezado"/>
    <w:uiPriority w:val="99"/>
    <w:rsid w:val="00990C8B"/>
  </w:style>
  <w:style w:type="paragraph" w:styleId="Piedepgina">
    <w:name w:val="footer"/>
    <w:basedOn w:val="Normal"/>
    <w:link w:val="PiedepginaCar"/>
    <w:uiPriority w:val="99"/>
    <w:unhideWhenUsed/>
    <w:rsid w:val="00990C8B"/>
    <w:pPr>
      <w:tabs>
        <w:tab w:val="center" w:pos="4252"/>
        <w:tab w:val="right" w:pos="8504"/>
      </w:tabs>
    </w:pPr>
  </w:style>
  <w:style w:type="character" w:customStyle="1" w:styleId="PiedepginaCar">
    <w:name w:val="Pie de página Car"/>
    <w:basedOn w:val="Fuentedeprrafopredeter"/>
    <w:link w:val="Piedepgina"/>
    <w:uiPriority w:val="99"/>
    <w:rsid w:val="00990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uscar/doc.php?id=BOE-A-2020-3955" TargetMode="External"/><Relationship Id="rId13"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https://www.wearephenix.com/es/" TargetMode="External"/><Relationship Id="rId12" Type="http://schemas.openxmlformats.org/officeDocument/2006/relationships/hyperlink" Target="mailto:marina.gascon@newlink-group.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e.es/buscar/doc.php?id=DOUE-L-2002-8020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oe.es/buscar/act.php?id=BOE-A-2022-5809" TargetMode="External"/><Relationship Id="rId4" Type="http://schemas.openxmlformats.org/officeDocument/2006/relationships/webSettings" Target="webSettings.xml"/><Relationship Id="rId9" Type="http://schemas.openxmlformats.org/officeDocument/2006/relationships/hyperlink" Target="https://bamadrid.org/reforma-ley-de-mecenazg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5375</Characters>
  <Application>Microsoft Office Word</Application>
  <DocSecurity>0</DocSecurity>
  <Lines>44</Lines>
  <Paragraphs>12</Paragraphs>
  <ScaleCrop>false</ScaleCrop>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Sánchez-Girón</dc:creator>
  <cp:keywords/>
  <dc:description/>
  <cp:lastModifiedBy>María Sánchez-Girón</cp:lastModifiedBy>
  <cp:revision>5</cp:revision>
  <dcterms:created xsi:type="dcterms:W3CDTF">2024-09-25T15:32:00Z</dcterms:created>
  <dcterms:modified xsi:type="dcterms:W3CDTF">2024-09-25T15:40:00Z</dcterms:modified>
</cp:coreProperties>
</file>