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62CF91" w14:textId="77777777" w:rsidR="00427662" w:rsidRDefault="00427662" w:rsidP="00427662">
      <w:pPr>
        <w:jc w:val="center"/>
        <w:rPr>
          <w:rFonts w:ascii="Century Gothic" w:eastAsia="Century Gothic" w:hAnsi="Century Gothic" w:cs="Century Gothic"/>
          <w:b/>
          <w:color w:val="C55911"/>
          <w:sz w:val="34"/>
          <w:szCs w:val="34"/>
        </w:rPr>
      </w:pPr>
    </w:p>
    <w:p w14:paraId="65EA766C" w14:textId="0B3070C4" w:rsidR="00427662" w:rsidRDefault="00427662" w:rsidP="00427662">
      <w:pPr>
        <w:jc w:val="center"/>
        <w:rPr>
          <w:rFonts w:ascii="Century Gothic" w:eastAsia="Century Gothic" w:hAnsi="Century Gothic" w:cs="Century Gothic"/>
          <w:b/>
          <w:color w:val="C55911"/>
          <w:sz w:val="34"/>
          <w:szCs w:val="34"/>
        </w:rPr>
      </w:pPr>
      <w:r>
        <w:rPr>
          <w:rFonts w:ascii="Century Gothic" w:eastAsia="Century Gothic" w:hAnsi="Century Gothic" w:cs="Century Gothic"/>
          <w:b/>
          <w:color w:val="C55911"/>
          <w:sz w:val="34"/>
          <w:szCs w:val="34"/>
        </w:rPr>
        <w:t xml:space="preserve">Cómo la gestión del excedente alimentario puede incrementar la rentabilidad de tu negocio </w:t>
      </w:r>
    </w:p>
    <w:p w14:paraId="6ECDE7AC" w14:textId="77777777" w:rsidR="00427662" w:rsidRDefault="00427662" w:rsidP="00427662">
      <w:pPr>
        <w:pBdr>
          <w:top w:val="nil"/>
          <w:left w:val="nil"/>
          <w:bottom w:val="nil"/>
          <w:right w:val="nil"/>
          <w:between w:val="nil"/>
        </w:pBdr>
        <w:spacing w:line="276" w:lineRule="auto"/>
        <w:jc w:val="both"/>
        <w:rPr>
          <w:rFonts w:ascii="Century Gothic" w:eastAsia="Century Gothic" w:hAnsi="Century Gothic" w:cs="Century Gothic"/>
          <w:color w:val="000000"/>
        </w:rPr>
      </w:pPr>
    </w:p>
    <w:p w14:paraId="6C3D948A" w14:textId="77777777" w:rsidR="00427662" w:rsidRPr="001537C1" w:rsidRDefault="00427662" w:rsidP="00427662">
      <w:pPr>
        <w:numPr>
          <w:ilvl w:val="0"/>
          <w:numId w:val="2"/>
        </w:numPr>
        <w:pBdr>
          <w:top w:val="nil"/>
          <w:left w:val="nil"/>
          <w:bottom w:val="nil"/>
          <w:right w:val="nil"/>
          <w:between w:val="nil"/>
        </w:pBdr>
        <w:spacing w:line="276" w:lineRule="auto"/>
        <w:jc w:val="both"/>
        <w:rPr>
          <w:rFonts w:ascii="Century Gothic" w:eastAsia="Century Gothic" w:hAnsi="Century Gothic" w:cs="Century Gothic"/>
          <w:color w:val="000000"/>
        </w:rPr>
      </w:pPr>
      <w:r w:rsidRPr="001537C1">
        <w:rPr>
          <w:rFonts w:ascii="Century Gothic" w:eastAsia="Century Gothic" w:hAnsi="Century Gothic" w:cs="Century Gothic"/>
        </w:rPr>
        <w:t xml:space="preserve">La integración y profesionalización de procesos, la colaboración de equipos y el equilibrio entre la tecnología y el capital humano son algunas de las claves que ofrece Phenix </w:t>
      </w:r>
    </w:p>
    <w:p w14:paraId="11785112" w14:textId="77777777" w:rsidR="00427662" w:rsidRPr="001537C1" w:rsidRDefault="00427662" w:rsidP="00427662">
      <w:pPr>
        <w:pBdr>
          <w:top w:val="nil"/>
          <w:left w:val="nil"/>
          <w:bottom w:val="nil"/>
          <w:right w:val="nil"/>
          <w:between w:val="nil"/>
        </w:pBdr>
        <w:spacing w:line="276" w:lineRule="auto"/>
        <w:ind w:left="720"/>
        <w:jc w:val="both"/>
        <w:rPr>
          <w:rFonts w:ascii="Century Gothic" w:eastAsia="Century Gothic" w:hAnsi="Century Gothic" w:cs="Century Gothic"/>
        </w:rPr>
      </w:pPr>
    </w:p>
    <w:p w14:paraId="4FCAD869" w14:textId="77777777" w:rsidR="00427662" w:rsidRPr="001537C1" w:rsidRDefault="00427662" w:rsidP="00427662">
      <w:pPr>
        <w:numPr>
          <w:ilvl w:val="0"/>
          <w:numId w:val="2"/>
        </w:numPr>
        <w:pBdr>
          <w:top w:val="nil"/>
          <w:left w:val="nil"/>
          <w:bottom w:val="nil"/>
          <w:right w:val="nil"/>
          <w:between w:val="nil"/>
        </w:pBdr>
        <w:spacing w:line="276" w:lineRule="auto"/>
        <w:jc w:val="both"/>
        <w:rPr>
          <w:rFonts w:ascii="Century Gothic" w:eastAsia="Century Gothic" w:hAnsi="Century Gothic" w:cs="Century Gothic"/>
          <w:color w:val="000000"/>
        </w:rPr>
      </w:pPr>
      <w:r w:rsidRPr="001537C1">
        <w:rPr>
          <w:rFonts w:ascii="Century Gothic" w:eastAsia="Century Gothic" w:hAnsi="Century Gothic" w:cs="Century Gothic"/>
          <w:color w:val="000000"/>
        </w:rPr>
        <w:t xml:space="preserve">Son muchas las compañías que han visto materializados los beneficios de una gestión del excedente, como La Menorquina, que en 6 meses </w:t>
      </w:r>
      <w:r w:rsidRPr="001537C1">
        <w:rPr>
          <w:rFonts w:ascii="Century Gothic" w:eastAsia="Century Gothic" w:hAnsi="Century Gothic" w:cs="Century Gothic"/>
        </w:rPr>
        <w:t xml:space="preserve">ahorró </w:t>
      </w:r>
      <w:r w:rsidRPr="001537C1">
        <w:rPr>
          <w:rFonts w:ascii="Century Gothic" w:eastAsia="Century Gothic" w:hAnsi="Century Gothic" w:cs="Century Gothic"/>
          <w:color w:val="000000"/>
        </w:rPr>
        <w:t xml:space="preserve">un 72,50% en costes de almacenamiento </w:t>
      </w:r>
    </w:p>
    <w:p w14:paraId="33DD08D1" w14:textId="77777777" w:rsidR="00427662" w:rsidRPr="001537C1" w:rsidRDefault="00427662" w:rsidP="00427662">
      <w:pPr>
        <w:pBdr>
          <w:top w:val="nil"/>
          <w:left w:val="nil"/>
          <w:bottom w:val="nil"/>
          <w:right w:val="nil"/>
          <w:between w:val="nil"/>
        </w:pBdr>
        <w:spacing w:line="276" w:lineRule="auto"/>
        <w:ind w:left="720"/>
        <w:jc w:val="both"/>
        <w:rPr>
          <w:rFonts w:ascii="Century Gothic" w:eastAsia="Century Gothic" w:hAnsi="Century Gothic" w:cs="Century Gothic"/>
        </w:rPr>
      </w:pPr>
    </w:p>
    <w:p w14:paraId="41A7F724" w14:textId="77777777" w:rsidR="00427662" w:rsidRPr="001537C1" w:rsidRDefault="00427662" w:rsidP="00427662">
      <w:pPr>
        <w:spacing w:before="240" w:after="240" w:line="276" w:lineRule="auto"/>
        <w:jc w:val="both"/>
        <w:rPr>
          <w:rFonts w:ascii="Century Gothic" w:eastAsia="Century Gothic" w:hAnsi="Century Gothic" w:cs="Century Gothic"/>
        </w:rPr>
      </w:pPr>
      <w:r w:rsidRPr="001537C1">
        <w:rPr>
          <w:rFonts w:ascii="Century Gothic" w:eastAsia="Century Gothic" w:hAnsi="Century Gothic" w:cs="Century Gothic"/>
          <w:b/>
        </w:rPr>
        <w:t xml:space="preserve">Madrid, 12 de noviembre de 2024 </w:t>
      </w:r>
      <w:r w:rsidRPr="001537C1">
        <w:rPr>
          <w:rFonts w:ascii="Century Gothic" w:eastAsia="Century Gothic" w:hAnsi="Century Gothic" w:cs="Century Gothic"/>
        </w:rPr>
        <w:t xml:space="preserve">- En un entorno empresarial cada vez más competitivo, los supermercados y las grandes superficies buscan constantemente estrategias que les permitan mejorar su eficiencia operativa, incrementar su rentabilidad y, a la vez, reducir el desperdicio. </w:t>
      </w:r>
    </w:p>
    <w:p w14:paraId="63C10947" w14:textId="77777777" w:rsidR="00427662" w:rsidRPr="001537C1" w:rsidRDefault="00427662" w:rsidP="00427662">
      <w:pPr>
        <w:spacing w:before="240" w:after="240" w:line="276" w:lineRule="auto"/>
        <w:jc w:val="both"/>
        <w:rPr>
          <w:rFonts w:ascii="Century Gothic" w:eastAsia="Century Gothic" w:hAnsi="Century Gothic" w:cs="Century Gothic"/>
        </w:rPr>
      </w:pPr>
      <w:r w:rsidRPr="001537C1">
        <w:rPr>
          <w:rFonts w:ascii="Century Gothic" w:eastAsia="Century Gothic" w:hAnsi="Century Gothic" w:cs="Century Gothic"/>
        </w:rPr>
        <w:t xml:space="preserve">En este contexto, </w:t>
      </w:r>
      <w:hyperlink r:id="rId7">
        <w:r w:rsidRPr="001537C1">
          <w:rPr>
            <w:rFonts w:ascii="Century Gothic" w:eastAsia="Century Gothic" w:hAnsi="Century Gothic" w:cs="Century Gothic"/>
            <w:color w:val="1155CC"/>
            <w:u w:val="single"/>
          </w:rPr>
          <w:t>Phenix</w:t>
        </w:r>
      </w:hyperlink>
      <w:r w:rsidRPr="001537C1">
        <w:rPr>
          <w:rFonts w:ascii="Century Gothic" w:eastAsia="Century Gothic" w:hAnsi="Century Gothic" w:cs="Century Gothic"/>
        </w:rPr>
        <w:t>, líder en la gestión del excedente alimentario en la gran distribución (retail) en España, destaca cómo una estrategia eficaz de gestión del excedente no solo contribuye a optimizar las ventas y reducir el desperdicio, sino que también refuerza el compromiso de las empresas con la sostenibilidad, un valor cada vez más apreciado por los consumidores.</w:t>
      </w:r>
    </w:p>
    <w:p w14:paraId="7F8DC387" w14:textId="77777777" w:rsidR="00427662" w:rsidRPr="001537C1" w:rsidRDefault="00427662" w:rsidP="00427662">
      <w:pPr>
        <w:spacing w:before="240" w:after="240" w:line="276" w:lineRule="auto"/>
        <w:jc w:val="both"/>
        <w:rPr>
          <w:rFonts w:ascii="Century Gothic" w:eastAsia="Century Gothic" w:hAnsi="Century Gothic" w:cs="Century Gothic"/>
        </w:rPr>
      </w:pPr>
      <w:r w:rsidRPr="001537C1">
        <w:rPr>
          <w:rFonts w:ascii="Century Gothic" w:eastAsia="Century Gothic" w:hAnsi="Century Gothic" w:cs="Century Gothic"/>
        </w:rPr>
        <w:t>Con el objetivo de ayudar a los negocios a implementar estas estrategias con éxito, desde la compañía señalan</w:t>
      </w:r>
      <w:r w:rsidRPr="001537C1">
        <w:rPr>
          <w:rFonts w:ascii="Century Gothic" w:eastAsia="Century Gothic" w:hAnsi="Century Gothic" w:cs="Century Gothic"/>
          <w:b/>
        </w:rPr>
        <w:t xml:space="preserve"> seis claves fundamentales para maximizar la rentabilidad a través de una gestión eficiente del excedente alimentario</w:t>
      </w:r>
      <w:r w:rsidRPr="001537C1">
        <w:rPr>
          <w:rFonts w:ascii="Century Gothic" w:eastAsia="Century Gothic" w:hAnsi="Century Gothic" w:cs="Century Gothic"/>
        </w:rPr>
        <w:t>:</w:t>
      </w:r>
    </w:p>
    <w:p w14:paraId="7C9310F8" w14:textId="77777777" w:rsidR="00427662" w:rsidRPr="001537C1" w:rsidRDefault="00427662" w:rsidP="00427662">
      <w:pPr>
        <w:numPr>
          <w:ilvl w:val="0"/>
          <w:numId w:val="1"/>
        </w:numPr>
        <w:spacing w:before="240" w:after="240" w:line="276" w:lineRule="auto"/>
        <w:jc w:val="both"/>
        <w:rPr>
          <w:rFonts w:ascii="Century Gothic" w:eastAsia="Century Gothic" w:hAnsi="Century Gothic" w:cs="Century Gothic"/>
        </w:rPr>
      </w:pPr>
      <w:r w:rsidRPr="001537C1">
        <w:rPr>
          <w:rFonts w:ascii="Century Gothic" w:eastAsia="Century Gothic" w:hAnsi="Century Gothic" w:cs="Century Gothic"/>
          <w:b/>
        </w:rPr>
        <w:t>Integración y profesionalización de procesos</w:t>
      </w:r>
      <w:r w:rsidRPr="001537C1">
        <w:rPr>
          <w:rFonts w:ascii="Century Gothic" w:eastAsia="Century Gothic" w:hAnsi="Century Gothic" w:cs="Century Gothic"/>
        </w:rPr>
        <w:t xml:space="preserve">: La gestión del excedente no debe abordarse como una serie de acciones aisladas, sino como un proceso estructurado y continuo. Desde Phenix señalan que la integración de tareas hasta ahora inconexas, así como la profesionalización y la sistematización del flujo de trabajo permite crear un </w:t>
      </w:r>
      <w:r w:rsidRPr="001537C1">
        <w:rPr>
          <w:rFonts w:ascii="Century Gothic" w:eastAsia="Century Gothic" w:hAnsi="Century Gothic" w:cs="Century Gothic"/>
          <w:b/>
        </w:rPr>
        <w:t>proceso medible y mejorable</w:t>
      </w:r>
      <w:r w:rsidRPr="001537C1">
        <w:rPr>
          <w:rFonts w:ascii="Century Gothic" w:eastAsia="Century Gothic" w:hAnsi="Century Gothic" w:cs="Century Gothic"/>
        </w:rPr>
        <w:t xml:space="preserve">. </w:t>
      </w:r>
    </w:p>
    <w:p w14:paraId="30FEEEE9" w14:textId="77777777" w:rsidR="00427662" w:rsidRPr="001537C1" w:rsidRDefault="00427662" w:rsidP="00427662">
      <w:pPr>
        <w:numPr>
          <w:ilvl w:val="0"/>
          <w:numId w:val="1"/>
        </w:numPr>
        <w:spacing w:before="240" w:line="276" w:lineRule="auto"/>
        <w:jc w:val="both"/>
        <w:rPr>
          <w:rFonts w:ascii="Century Gothic" w:eastAsia="Century Gothic" w:hAnsi="Century Gothic" w:cs="Century Gothic"/>
        </w:rPr>
      </w:pPr>
      <w:r w:rsidRPr="001537C1">
        <w:rPr>
          <w:rFonts w:ascii="Century Gothic" w:eastAsia="Century Gothic" w:hAnsi="Century Gothic" w:cs="Century Gothic"/>
          <w:b/>
        </w:rPr>
        <w:t>Solución transversal y colaboración del equipo</w:t>
      </w:r>
      <w:r w:rsidRPr="001537C1">
        <w:rPr>
          <w:rFonts w:ascii="Century Gothic" w:eastAsia="Century Gothic" w:hAnsi="Century Gothic" w:cs="Century Gothic"/>
        </w:rPr>
        <w:t>: La gestión efectiva del excedente alimentario implica a toda la organización, desde la dirección hasta los operarios. Los expertos de Phenix destacan que una estrategia de éxito requiere formación constante, una organización eficaz de los equipos y procesos estructurados que faciliten la profesionalización de las tareas relacionadas con la reducción de desperdicios. Además, subrayan que la colaboración y la capacitación son fundamentales para que todos trabajen hacia el mismo objetivo, optimizando los resultados.</w:t>
      </w:r>
      <w:r w:rsidRPr="001537C1">
        <w:rPr>
          <w:rFonts w:ascii="Century Gothic" w:eastAsia="Century Gothic" w:hAnsi="Century Gothic" w:cs="Century Gothic"/>
        </w:rPr>
        <w:br/>
      </w:r>
    </w:p>
    <w:p w14:paraId="3F201B04" w14:textId="77777777" w:rsidR="00427662" w:rsidRPr="001537C1" w:rsidRDefault="00427662" w:rsidP="00427662">
      <w:pPr>
        <w:numPr>
          <w:ilvl w:val="0"/>
          <w:numId w:val="1"/>
        </w:numPr>
        <w:spacing w:after="240" w:line="276" w:lineRule="auto"/>
        <w:jc w:val="both"/>
        <w:rPr>
          <w:rFonts w:ascii="Century Gothic" w:eastAsia="Century Gothic" w:hAnsi="Century Gothic" w:cs="Century Gothic"/>
        </w:rPr>
      </w:pPr>
      <w:r w:rsidRPr="001537C1">
        <w:rPr>
          <w:rFonts w:ascii="Century Gothic" w:eastAsia="Century Gothic" w:hAnsi="Century Gothic" w:cs="Century Gothic"/>
          <w:b/>
        </w:rPr>
        <w:lastRenderedPageBreak/>
        <w:t>Equilibrio entre tecnología y capital humano</w:t>
      </w:r>
      <w:r w:rsidRPr="001537C1">
        <w:rPr>
          <w:rFonts w:ascii="Century Gothic" w:eastAsia="Century Gothic" w:hAnsi="Century Gothic" w:cs="Century Gothic"/>
        </w:rPr>
        <w:t xml:space="preserve">: Una combinación óptima de herramientas digitales y supervisión experta permite detectar, controlar y dar salida a los productos con mayor rapidez, y permite ahorrar tiempo </w:t>
      </w:r>
      <w:proofErr w:type="gramStart"/>
      <w:r w:rsidRPr="001537C1">
        <w:rPr>
          <w:rFonts w:ascii="Century Gothic" w:eastAsia="Century Gothic" w:hAnsi="Century Gothic" w:cs="Century Gothic"/>
        </w:rPr>
        <w:t>a  los</w:t>
      </w:r>
      <w:proofErr w:type="gramEnd"/>
      <w:r w:rsidRPr="001537C1">
        <w:rPr>
          <w:rFonts w:ascii="Century Gothic" w:eastAsia="Century Gothic" w:hAnsi="Century Gothic" w:cs="Century Gothic"/>
        </w:rPr>
        <w:t xml:space="preserve"> empleados de los supermercados. </w:t>
      </w:r>
    </w:p>
    <w:p w14:paraId="4DB92F09" w14:textId="77777777" w:rsidR="00427662" w:rsidRPr="001537C1" w:rsidRDefault="00427662" w:rsidP="00427662">
      <w:pPr>
        <w:spacing w:before="240" w:after="240" w:line="276" w:lineRule="auto"/>
        <w:ind w:left="720"/>
        <w:jc w:val="both"/>
        <w:rPr>
          <w:rFonts w:ascii="Century Gothic" w:eastAsia="Century Gothic" w:hAnsi="Century Gothic" w:cs="Century Gothic"/>
        </w:rPr>
      </w:pPr>
      <w:r w:rsidRPr="001537C1">
        <w:rPr>
          <w:rFonts w:ascii="Century Gothic" w:eastAsia="Century Gothic" w:hAnsi="Century Gothic" w:cs="Century Gothic"/>
        </w:rPr>
        <w:t>Los expertos de la compañía destacan que la digitalización de los procesos</w:t>
      </w:r>
      <w:r w:rsidRPr="001537C1">
        <w:rPr>
          <w:rFonts w:ascii="Century Gothic" w:eastAsia="Century Gothic" w:hAnsi="Century Gothic" w:cs="Century Gothic"/>
          <w:b/>
        </w:rPr>
        <w:t xml:space="preserve"> administrativos y logísticos</w:t>
      </w:r>
      <w:r w:rsidRPr="001537C1">
        <w:rPr>
          <w:rFonts w:ascii="Century Gothic" w:eastAsia="Century Gothic" w:hAnsi="Century Gothic" w:cs="Century Gothic"/>
        </w:rPr>
        <w:t>, como las donaciones, y el</w:t>
      </w:r>
      <w:r w:rsidRPr="001537C1">
        <w:rPr>
          <w:rFonts w:ascii="Century Gothic" w:eastAsia="Century Gothic" w:hAnsi="Century Gothic" w:cs="Century Gothic"/>
          <w:b/>
        </w:rPr>
        <w:t xml:space="preserve"> análisis de datos </w:t>
      </w:r>
      <w:r w:rsidRPr="001537C1">
        <w:rPr>
          <w:rFonts w:ascii="Century Gothic" w:eastAsia="Century Gothic" w:hAnsi="Century Gothic" w:cs="Century Gothic"/>
        </w:rPr>
        <w:t xml:space="preserve">por parte del personal contribuyen a agilizar operaciones y maximizar el aprovechamiento de los productos, manteniendo siempre la supervisión y el juicio humano como elementos de valor añadido. </w:t>
      </w:r>
    </w:p>
    <w:p w14:paraId="544E4A27" w14:textId="77777777" w:rsidR="00427662" w:rsidRPr="001537C1" w:rsidRDefault="00427662" w:rsidP="00427662">
      <w:pPr>
        <w:numPr>
          <w:ilvl w:val="0"/>
          <w:numId w:val="1"/>
        </w:numPr>
        <w:spacing w:before="240" w:after="240" w:line="276" w:lineRule="auto"/>
        <w:jc w:val="both"/>
        <w:rPr>
          <w:rFonts w:ascii="Century Gothic" w:eastAsia="Century Gothic" w:hAnsi="Century Gothic" w:cs="Century Gothic"/>
        </w:rPr>
      </w:pPr>
      <w:r w:rsidRPr="001537C1">
        <w:rPr>
          <w:rFonts w:ascii="Century Gothic" w:eastAsia="Century Gothic" w:hAnsi="Century Gothic" w:cs="Century Gothic"/>
          <w:b/>
        </w:rPr>
        <w:t>Visión global y estratégica del ciclo de vida del producto</w:t>
      </w:r>
      <w:r w:rsidRPr="001537C1">
        <w:rPr>
          <w:rFonts w:ascii="Century Gothic" w:eastAsia="Century Gothic" w:hAnsi="Century Gothic" w:cs="Century Gothic"/>
        </w:rPr>
        <w:t>: Mantener un control exhaustivo sobre el estado y las fechas de caducidad de todos los productos permite tomar decisiones informadas para optimizar su ciclo de vida. Al identificar con anticipación los productos con fechas de vencimiento próximas, las empresas pueden determinar el mejor destino de los productos, como la venta a precio reducido, la donación o la eliminación, con el fin de obtener el mayor valor económico y social. Esta visión integral minimiza el desperdicio, maximiza la rotación del inventario y ayuda a reducir costes, logrando así una gestión más rentable y sostenible del inventario.</w:t>
      </w:r>
    </w:p>
    <w:p w14:paraId="5A7FAADC" w14:textId="77777777" w:rsidR="00427662" w:rsidRPr="001537C1" w:rsidRDefault="00427662" w:rsidP="00427662">
      <w:pPr>
        <w:numPr>
          <w:ilvl w:val="0"/>
          <w:numId w:val="1"/>
        </w:numPr>
        <w:spacing w:before="240" w:after="240" w:line="276" w:lineRule="auto"/>
        <w:jc w:val="both"/>
        <w:rPr>
          <w:rFonts w:ascii="Century Gothic" w:eastAsia="Century Gothic" w:hAnsi="Century Gothic" w:cs="Century Gothic"/>
        </w:rPr>
      </w:pPr>
      <w:r w:rsidRPr="001537C1">
        <w:rPr>
          <w:rFonts w:ascii="Century Gothic" w:eastAsia="Century Gothic" w:hAnsi="Century Gothic" w:cs="Century Gothic"/>
          <w:b/>
        </w:rPr>
        <w:t>Valorización de los excedentes</w:t>
      </w:r>
      <w:r w:rsidRPr="001537C1">
        <w:rPr>
          <w:rFonts w:ascii="Century Gothic" w:eastAsia="Century Gothic" w:hAnsi="Century Gothic" w:cs="Century Gothic"/>
        </w:rPr>
        <w:t>: La gestión eficiente de los excedentes permite reducir el desperdicio y maximizar el impacto positivo en la comunidad. Las donaciones, junto con otras soluciones, forman parte de las estrategias que pueden considerarse para optimizar la utilización de los excedentes. Cuanto más eficiente sea la logística de donación, mayor será la cantidad de excedentes aprovechados, lo que genera un retorno económico y social significativo. Además, mejorar este proceso puede ofrecer beneficios fiscales a las empresas, convirtiendo la valorización de excedentes en una opción atractiva tanto desde el punto de vista económico como de responsabilidad social.</w:t>
      </w:r>
    </w:p>
    <w:p w14:paraId="6ECA9AF4" w14:textId="77777777" w:rsidR="00427662" w:rsidRPr="001537C1" w:rsidRDefault="00427662" w:rsidP="00427662">
      <w:pPr>
        <w:numPr>
          <w:ilvl w:val="0"/>
          <w:numId w:val="1"/>
        </w:numPr>
        <w:spacing w:before="240" w:after="240" w:line="276" w:lineRule="auto"/>
        <w:jc w:val="both"/>
        <w:rPr>
          <w:rFonts w:ascii="Century Gothic" w:eastAsia="Century Gothic" w:hAnsi="Century Gothic" w:cs="Century Gothic"/>
        </w:rPr>
      </w:pPr>
      <w:r w:rsidRPr="001537C1">
        <w:rPr>
          <w:rFonts w:ascii="Century Gothic" w:eastAsia="Century Gothic" w:hAnsi="Century Gothic" w:cs="Century Gothic"/>
          <w:b/>
        </w:rPr>
        <w:t>Procesos medibles y mejora continua</w:t>
      </w:r>
      <w:r w:rsidRPr="001537C1">
        <w:rPr>
          <w:rFonts w:ascii="Century Gothic" w:eastAsia="Century Gothic" w:hAnsi="Century Gothic" w:cs="Century Gothic"/>
        </w:rPr>
        <w:t>: La clave de una gestión exitosa del excedente alimentario radica en la capacidad de medir los resultados y aplicar mejoras constantemente. Analizar indicadores clave y realizar ajustes proactivos no solo permite mejorar la eficiencia, sino también avanzar en los compromisos de sostenibilidad y rentabilidad.</w:t>
      </w:r>
    </w:p>
    <w:p w14:paraId="6DA76518" w14:textId="77777777" w:rsidR="00427662" w:rsidRPr="001537C1" w:rsidRDefault="00427662" w:rsidP="00427662">
      <w:pPr>
        <w:spacing w:line="276" w:lineRule="auto"/>
        <w:jc w:val="both"/>
        <w:rPr>
          <w:rFonts w:ascii="Century Gothic" w:eastAsia="Century Gothic" w:hAnsi="Century Gothic" w:cs="Century Gothic"/>
        </w:rPr>
      </w:pPr>
      <w:r w:rsidRPr="001537C1">
        <w:rPr>
          <w:rFonts w:ascii="Century Gothic" w:eastAsia="Century Gothic" w:hAnsi="Century Gothic" w:cs="Century Gothic"/>
        </w:rPr>
        <w:t xml:space="preserve">En línea con el anterior punto, desde la empresa señalan que, aunque las donaciones no son consideradas como gasto deducible en el Impuesto de Sociedades, </w:t>
      </w:r>
      <w:r w:rsidRPr="001537C1">
        <w:rPr>
          <w:rFonts w:ascii="Century Gothic" w:eastAsia="Century Gothic" w:hAnsi="Century Gothic" w:cs="Century Gothic"/>
          <w:b/>
        </w:rPr>
        <w:t>es posible obtener deducciones fiscales en la cuota, siempre y cuando la entidad receptora de la donación (fundación o asociación) haya optado por el régimen fiscal especial establecido en la Ley 49/2002</w:t>
      </w:r>
      <w:r w:rsidRPr="001537C1">
        <w:rPr>
          <w:rFonts w:ascii="Century Gothic" w:eastAsia="Century Gothic" w:hAnsi="Century Gothic" w:cs="Century Gothic"/>
        </w:rPr>
        <w:t>, y sea reconocida de utilidad pública.</w:t>
      </w:r>
    </w:p>
    <w:p w14:paraId="49DE3DA2" w14:textId="77777777" w:rsidR="00427662" w:rsidRPr="001537C1" w:rsidRDefault="00427662" w:rsidP="00427662">
      <w:pPr>
        <w:spacing w:line="276" w:lineRule="auto"/>
        <w:jc w:val="both"/>
        <w:rPr>
          <w:rFonts w:ascii="Century Gothic" w:eastAsia="Century Gothic" w:hAnsi="Century Gothic" w:cs="Century Gothic"/>
        </w:rPr>
      </w:pPr>
    </w:p>
    <w:p w14:paraId="6DEF49B0" w14:textId="77777777" w:rsidR="00427662" w:rsidRPr="001537C1" w:rsidRDefault="00427662" w:rsidP="00427662">
      <w:pPr>
        <w:spacing w:line="276" w:lineRule="auto"/>
        <w:jc w:val="both"/>
        <w:rPr>
          <w:rFonts w:ascii="Century Gothic" w:eastAsia="Century Gothic" w:hAnsi="Century Gothic" w:cs="Century Gothic"/>
          <w:highlight w:val="yellow"/>
        </w:rPr>
      </w:pPr>
      <w:r w:rsidRPr="001537C1">
        <w:rPr>
          <w:rFonts w:ascii="Century Gothic" w:eastAsia="Century Gothic" w:hAnsi="Century Gothic" w:cs="Century Gothic"/>
        </w:rPr>
        <w:t xml:space="preserve">Tras la reforma de la ley de Mecenazgo que entró en vigor a principios de este año, en </w:t>
      </w:r>
      <w:r w:rsidRPr="001537C1">
        <w:rPr>
          <w:rFonts w:ascii="Century Gothic" w:eastAsia="Century Gothic" w:hAnsi="Century Gothic" w:cs="Century Gothic"/>
          <w:b/>
        </w:rPr>
        <w:t>España, las entidades jurídicas pueden deducir un 40% del importe de los donativos del impuesto de sociedades a valor contable</w:t>
      </w:r>
      <w:r w:rsidRPr="001537C1">
        <w:rPr>
          <w:rFonts w:ascii="Century Gothic" w:eastAsia="Century Gothic" w:hAnsi="Century Gothic" w:cs="Century Gothic"/>
        </w:rPr>
        <w:t>. Además, se incluye la posibilidad de conseguir una mayor deducción para donaciones recurrentes, aumentando del 40% al 50% siempre y cuando la cantidad donada se mantenga o incremente durante 3 años consecutivos.</w:t>
      </w:r>
    </w:p>
    <w:p w14:paraId="0FEADCFA" w14:textId="77777777" w:rsidR="00427662" w:rsidRPr="001537C1" w:rsidRDefault="00427662" w:rsidP="00427662">
      <w:pPr>
        <w:spacing w:line="276" w:lineRule="auto"/>
        <w:jc w:val="both"/>
        <w:rPr>
          <w:rFonts w:ascii="Century Gothic" w:eastAsia="Century Gothic" w:hAnsi="Century Gothic" w:cs="Century Gothic"/>
        </w:rPr>
      </w:pPr>
    </w:p>
    <w:p w14:paraId="402C15FF" w14:textId="77777777" w:rsidR="00427662" w:rsidRPr="001537C1" w:rsidRDefault="00427662" w:rsidP="00427662">
      <w:pPr>
        <w:spacing w:line="276" w:lineRule="auto"/>
        <w:jc w:val="both"/>
        <w:rPr>
          <w:rFonts w:ascii="Century Gothic" w:eastAsia="Century Gothic" w:hAnsi="Century Gothic" w:cs="Century Gothic"/>
        </w:rPr>
      </w:pPr>
      <w:r w:rsidRPr="001537C1">
        <w:rPr>
          <w:rFonts w:ascii="Century Gothic" w:eastAsia="Century Gothic" w:hAnsi="Century Gothic" w:cs="Century Gothic"/>
        </w:rPr>
        <w:t xml:space="preserve">Son muchas las compañías que han visto materializados estos beneficios en términos económicos. Entre ellas, </w:t>
      </w:r>
      <w:r w:rsidRPr="001537C1">
        <w:rPr>
          <w:rFonts w:ascii="Century Gothic" w:eastAsia="Century Gothic" w:hAnsi="Century Gothic" w:cs="Century Gothic"/>
          <w:b/>
        </w:rPr>
        <w:t>La Menorquina</w:t>
      </w:r>
      <w:r w:rsidRPr="001537C1">
        <w:rPr>
          <w:rFonts w:ascii="Century Gothic" w:eastAsia="Century Gothic" w:hAnsi="Century Gothic" w:cs="Century Gothic"/>
        </w:rPr>
        <w:t xml:space="preserve">, primera empresa en producir helados de marca española en el año 1940, que en seis meses de colaboración con Phenix </w:t>
      </w:r>
      <w:r w:rsidRPr="001537C1">
        <w:rPr>
          <w:rFonts w:ascii="Century Gothic" w:eastAsia="Century Gothic" w:hAnsi="Century Gothic" w:cs="Century Gothic"/>
          <w:b/>
        </w:rPr>
        <w:t>consiguió optimizar un</w:t>
      </w:r>
      <w:r w:rsidRPr="001537C1">
        <w:rPr>
          <w:rFonts w:ascii="Century Gothic" w:eastAsia="Century Gothic" w:hAnsi="Century Gothic" w:cs="Century Gothic"/>
        </w:rPr>
        <w:t xml:space="preserve"> </w:t>
      </w:r>
      <w:r w:rsidRPr="001537C1">
        <w:rPr>
          <w:rFonts w:ascii="Century Gothic" w:eastAsia="Century Gothic" w:hAnsi="Century Gothic" w:cs="Century Gothic"/>
          <w:b/>
        </w:rPr>
        <w:t>72.50% sus costes de almacenamiento y destrucción del excedente</w:t>
      </w:r>
      <w:r w:rsidRPr="001537C1">
        <w:rPr>
          <w:rFonts w:ascii="Century Gothic" w:eastAsia="Century Gothic" w:hAnsi="Century Gothic" w:cs="Century Gothic"/>
        </w:rPr>
        <w:t xml:space="preserve"> alimentario y generar un </w:t>
      </w:r>
      <w:r w:rsidRPr="001537C1">
        <w:rPr>
          <w:rFonts w:ascii="Century Gothic" w:eastAsia="Century Gothic" w:hAnsi="Century Gothic" w:cs="Century Gothic"/>
          <w:b/>
        </w:rPr>
        <w:t>ahorro de más de 54.000€,</w:t>
      </w:r>
      <w:r w:rsidRPr="001537C1">
        <w:rPr>
          <w:rFonts w:ascii="Century Gothic" w:eastAsia="Century Gothic" w:hAnsi="Century Gothic" w:cs="Century Gothic"/>
        </w:rPr>
        <w:t xml:space="preserve"> alcanzando un </w:t>
      </w:r>
      <w:r w:rsidRPr="001537C1">
        <w:rPr>
          <w:rFonts w:ascii="Century Gothic" w:eastAsia="Century Gothic" w:hAnsi="Century Gothic" w:cs="Century Gothic"/>
          <w:b/>
        </w:rPr>
        <w:t>retorno del 188% sobre la inversión en los servicios de Phenix</w:t>
      </w:r>
      <w:r w:rsidRPr="001537C1">
        <w:rPr>
          <w:rFonts w:ascii="Century Gothic" w:eastAsia="Century Gothic" w:hAnsi="Century Gothic" w:cs="Century Gothic"/>
        </w:rPr>
        <w:t>.</w:t>
      </w:r>
    </w:p>
    <w:p w14:paraId="7654B3CC" w14:textId="77777777" w:rsidR="00427662" w:rsidRPr="001537C1" w:rsidRDefault="00427662" w:rsidP="00427662">
      <w:pPr>
        <w:spacing w:line="276" w:lineRule="auto"/>
        <w:jc w:val="both"/>
        <w:rPr>
          <w:rFonts w:ascii="Century Gothic" w:eastAsia="Century Gothic" w:hAnsi="Century Gothic" w:cs="Century Gothic"/>
        </w:rPr>
      </w:pPr>
    </w:p>
    <w:p w14:paraId="2A8282FC" w14:textId="77777777" w:rsidR="00427662" w:rsidRPr="001537C1" w:rsidRDefault="00427662" w:rsidP="00427662">
      <w:pPr>
        <w:spacing w:after="200" w:line="276" w:lineRule="auto"/>
        <w:jc w:val="both"/>
        <w:rPr>
          <w:rFonts w:ascii="Century Gothic" w:eastAsia="Century Gothic" w:hAnsi="Century Gothic" w:cs="Century Gothic"/>
        </w:rPr>
      </w:pPr>
      <w:r w:rsidRPr="001537C1">
        <w:rPr>
          <w:rFonts w:ascii="Century Gothic" w:eastAsia="Century Gothic" w:hAnsi="Century Gothic" w:cs="Century Gothic"/>
        </w:rPr>
        <w:t>“</w:t>
      </w:r>
      <w:r w:rsidRPr="001537C1">
        <w:rPr>
          <w:rFonts w:ascii="Century Gothic" w:eastAsia="Century Gothic" w:hAnsi="Century Gothic" w:cs="Century Gothic"/>
          <w:i/>
        </w:rPr>
        <w:t xml:space="preserve">Una adecuada gestión del excedente alimentario no es solo una cuestión de sostenibilidad, sino también de beneficios. Los negocios que llevan a cabo una estrategia basada en la gestión de sus excedentes ven una mejora significativa en su rentabilidad, generando un impacto directo en el margen operativo” </w:t>
      </w:r>
      <w:r w:rsidRPr="001537C1">
        <w:rPr>
          <w:rFonts w:ascii="Century Gothic" w:eastAsia="Century Gothic" w:hAnsi="Century Gothic" w:cs="Century Gothic"/>
        </w:rPr>
        <w:t xml:space="preserve">ha señalado </w:t>
      </w:r>
      <w:r w:rsidRPr="001537C1">
        <w:rPr>
          <w:rFonts w:ascii="Century Gothic" w:eastAsia="Century Gothic" w:hAnsi="Century Gothic" w:cs="Century Gothic"/>
          <w:b/>
        </w:rPr>
        <w:t xml:space="preserve">Jean-Baptiste </w:t>
      </w:r>
      <w:proofErr w:type="spellStart"/>
      <w:r w:rsidRPr="001537C1">
        <w:rPr>
          <w:rFonts w:ascii="Century Gothic" w:eastAsia="Century Gothic" w:hAnsi="Century Gothic" w:cs="Century Gothic"/>
          <w:b/>
        </w:rPr>
        <w:t>Boubault</w:t>
      </w:r>
      <w:proofErr w:type="spellEnd"/>
      <w:r w:rsidRPr="001537C1">
        <w:rPr>
          <w:rFonts w:ascii="Century Gothic" w:eastAsia="Century Gothic" w:hAnsi="Century Gothic" w:cs="Century Gothic"/>
          <w:b/>
        </w:rPr>
        <w:t>, Country Manager de Phenix en España</w:t>
      </w:r>
      <w:r w:rsidRPr="001537C1">
        <w:rPr>
          <w:rFonts w:ascii="Century Gothic" w:eastAsia="Century Gothic" w:hAnsi="Century Gothic" w:cs="Century Gothic"/>
        </w:rPr>
        <w:t>.</w:t>
      </w:r>
    </w:p>
    <w:p w14:paraId="6BE7CA59" w14:textId="77777777" w:rsidR="00427662" w:rsidRPr="001537C1" w:rsidRDefault="00427662" w:rsidP="00427662">
      <w:pPr>
        <w:numPr>
          <w:ilvl w:val="0"/>
          <w:numId w:val="3"/>
        </w:numPr>
        <w:spacing w:line="276" w:lineRule="auto"/>
        <w:jc w:val="center"/>
        <w:rPr>
          <w:rFonts w:ascii="Century Gothic" w:eastAsia="Century Gothic" w:hAnsi="Century Gothic" w:cs="Century Gothic"/>
          <w:color w:val="000000"/>
          <w:sz w:val="20"/>
          <w:szCs w:val="20"/>
        </w:rPr>
      </w:pPr>
      <w:r w:rsidRPr="001537C1">
        <w:rPr>
          <w:rFonts w:ascii="Century Gothic" w:eastAsia="Century Gothic" w:hAnsi="Century Gothic" w:cs="Century Gothic"/>
          <w:color w:val="000000"/>
          <w:sz w:val="20"/>
          <w:szCs w:val="20"/>
        </w:rPr>
        <w:t>FIN   -</w:t>
      </w:r>
    </w:p>
    <w:p w14:paraId="364A9924" w14:textId="77777777" w:rsidR="00427662" w:rsidRDefault="00427662" w:rsidP="00427662">
      <w:pPr>
        <w:spacing w:line="276" w:lineRule="auto"/>
        <w:rPr>
          <w:sz w:val="18"/>
          <w:szCs w:val="18"/>
        </w:rPr>
      </w:pPr>
      <w:r>
        <w:rPr>
          <w:sz w:val="18"/>
          <w:szCs w:val="18"/>
        </w:rPr>
        <w:t>***</w:t>
      </w:r>
    </w:p>
    <w:p w14:paraId="66E1C7A0" w14:textId="77777777" w:rsidR="00427662" w:rsidRDefault="00427662" w:rsidP="00427662">
      <w:pPr>
        <w:jc w:val="right"/>
        <w:rPr>
          <w:b/>
          <w:sz w:val="18"/>
          <w:szCs w:val="18"/>
        </w:rPr>
      </w:pPr>
    </w:p>
    <w:p w14:paraId="7EB44540" w14:textId="77777777" w:rsidR="00427662" w:rsidRDefault="00427662" w:rsidP="00427662">
      <w:pPr>
        <w:rPr>
          <w:b/>
          <w:sz w:val="18"/>
          <w:szCs w:val="18"/>
        </w:rPr>
      </w:pPr>
      <w:r>
        <w:rPr>
          <w:b/>
          <w:sz w:val="18"/>
          <w:szCs w:val="18"/>
        </w:rPr>
        <w:t>Sobre Phenix</w:t>
      </w:r>
    </w:p>
    <w:p w14:paraId="64D19951" w14:textId="77777777" w:rsidR="00427662" w:rsidRDefault="00427662" w:rsidP="00427662">
      <w:pPr>
        <w:jc w:val="both"/>
        <w:rPr>
          <w:sz w:val="18"/>
          <w:szCs w:val="18"/>
        </w:rPr>
      </w:pPr>
    </w:p>
    <w:p w14:paraId="57F39603" w14:textId="77777777" w:rsidR="00427662" w:rsidRDefault="00427662" w:rsidP="00427662">
      <w:pPr>
        <w:jc w:val="both"/>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Phenix es una empresa especializada en maximizar el valor del excedente en el sector retail alimentario en España. A través de una gestión eficiente, ayuda a las empresas a convertir el excedente en una fuente de rentabilidad, mientras reduce significativamente el desperdicio alimentario y fomenta un impacto positivo en la sociedad y el medio ambiente. Nació en el 2014, en Francia, con una misión muy clara: reducir el desperdicio alimentario, un problema con un grave impacto económico, social y medioambiental a nivel mundial. Actualmente, es líder en el mercado francés y está en plena consolidación en España y Portugal. La empresa cuenta con más de 200 empleados en total. Phenix está certificada como B </w:t>
      </w:r>
      <w:proofErr w:type="spellStart"/>
      <w:r>
        <w:rPr>
          <w:rFonts w:ascii="Century Gothic" w:eastAsia="Century Gothic" w:hAnsi="Century Gothic" w:cs="Century Gothic"/>
          <w:i/>
          <w:sz w:val="16"/>
          <w:szCs w:val="16"/>
        </w:rPr>
        <w:t>Corporation</w:t>
      </w:r>
      <w:proofErr w:type="spellEnd"/>
      <w:r>
        <w:rPr>
          <w:rFonts w:ascii="Century Gothic" w:eastAsia="Century Gothic" w:hAnsi="Century Gothic" w:cs="Century Gothic"/>
          <w:i/>
          <w:sz w:val="16"/>
          <w:szCs w:val="16"/>
        </w:rPr>
        <w:t>, mostrando su compromiso con la sociedad y el medioambiente.</w:t>
      </w:r>
    </w:p>
    <w:p w14:paraId="36CEC5E9" w14:textId="77777777" w:rsidR="00427662" w:rsidRDefault="00427662" w:rsidP="00427662">
      <w:pPr>
        <w:jc w:val="both"/>
        <w:rPr>
          <w:rFonts w:ascii="Century Gothic" w:eastAsia="Century Gothic" w:hAnsi="Century Gothic" w:cs="Century Gothic"/>
          <w:i/>
          <w:sz w:val="16"/>
          <w:szCs w:val="16"/>
        </w:rPr>
      </w:pPr>
    </w:p>
    <w:p w14:paraId="358B46CC" w14:textId="77777777" w:rsidR="00427662" w:rsidRDefault="00427662" w:rsidP="00427662">
      <w:pPr>
        <w:jc w:val="both"/>
        <w:rPr>
          <w:rFonts w:ascii="Century Gothic" w:eastAsia="Century Gothic" w:hAnsi="Century Gothic" w:cs="Century Gothic"/>
          <w:i/>
          <w:sz w:val="16"/>
          <w:szCs w:val="16"/>
        </w:rPr>
      </w:pPr>
      <w:r>
        <w:rPr>
          <w:rFonts w:ascii="Century Gothic" w:eastAsia="Century Gothic" w:hAnsi="Century Gothic" w:cs="Century Gothic"/>
          <w:i/>
          <w:sz w:val="16"/>
          <w:szCs w:val="16"/>
        </w:rPr>
        <w:t xml:space="preserve">Para más información: </w:t>
      </w:r>
      <w:hyperlink r:id="rId8">
        <w:r>
          <w:rPr>
            <w:rFonts w:ascii="Century Gothic" w:eastAsia="Century Gothic" w:hAnsi="Century Gothic" w:cs="Century Gothic"/>
            <w:i/>
            <w:sz w:val="16"/>
            <w:szCs w:val="16"/>
          </w:rPr>
          <w:t>https://www.wearephenix.com/es/</w:t>
        </w:r>
      </w:hyperlink>
    </w:p>
    <w:p w14:paraId="3B27E111" w14:textId="77777777" w:rsidR="00427662" w:rsidRDefault="00427662" w:rsidP="00427662">
      <w:pPr>
        <w:jc w:val="both"/>
        <w:rPr>
          <w:rFonts w:ascii="Century Gothic" w:eastAsia="Century Gothic" w:hAnsi="Century Gothic" w:cs="Century Gothic"/>
          <w:i/>
          <w:sz w:val="16"/>
          <w:szCs w:val="16"/>
        </w:rPr>
      </w:pPr>
    </w:p>
    <w:p w14:paraId="03F224AB" w14:textId="77777777" w:rsidR="00427662" w:rsidRDefault="00427662" w:rsidP="00427662">
      <w:pPr>
        <w:jc w:val="both"/>
        <w:rPr>
          <w:b/>
          <w:sz w:val="18"/>
          <w:szCs w:val="18"/>
        </w:rPr>
      </w:pPr>
    </w:p>
    <w:p w14:paraId="7B755F47" w14:textId="77777777" w:rsidR="00427662" w:rsidRDefault="00427662" w:rsidP="00427662">
      <w:pPr>
        <w:jc w:val="right"/>
        <w:rPr>
          <w:b/>
          <w:sz w:val="18"/>
          <w:szCs w:val="18"/>
        </w:rPr>
      </w:pPr>
    </w:p>
    <w:p w14:paraId="60D5189B" w14:textId="77777777" w:rsidR="00427662" w:rsidRDefault="00427662" w:rsidP="00427662">
      <w:pPr>
        <w:jc w:val="right"/>
        <w:rPr>
          <w:b/>
          <w:sz w:val="20"/>
          <w:szCs w:val="20"/>
        </w:rPr>
      </w:pPr>
      <w:r>
        <w:rPr>
          <w:b/>
          <w:sz w:val="20"/>
          <w:szCs w:val="20"/>
        </w:rPr>
        <w:t>Contacto para la prensa:</w:t>
      </w:r>
    </w:p>
    <w:p w14:paraId="6A1DEF36" w14:textId="77777777" w:rsidR="00427662" w:rsidRDefault="00427662" w:rsidP="00427662">
      <w:pPr>
        <w:jc w:val="right"/>
        <w:rPr>
          <w:b/>
          <w:sz w:val="20"/>
          <w:szCs w:val="20"/>
        </w:rPr>
      </w:pPr>
    </w:p>
    <w:p w14:paraId="196EE2F4" w14:textId="77777777" w:rsidR="00427662" w:rsidRDefault="00427662" w:rsidP="00427662">
      <w:pPr>
        <w:jc w:val="right"/>
        <w:rPr>
          <w:b/>
          <w:sz w:val="20"/>
          <w:szCs w:val="20"/>
        </w:rPr>
      </w:pPr>
      <w:r>
        <w:rPr>
          <w:b/>
          <w:sz w:val="20"/>
          <w:szCs w:val="20"/>
        </w:rPr>
        <w:t xml:space="preserve">Marina Gascón Martínez de Quel </w:t>
      </w:r>
    </w:p>
    <w:p w14:paraId="4E05798A" w14:textId="77777777" w:rsidR="00427662" w:rsidRDefault="00427662" w:rsidP="00427662">
      <w:pPr>
        <w:jc w:val="right"/>
        <w:rPr>
          <w:sz w:val="20"/>
          <w:szCs w:val="20"/>
        </w:rPr>
      </w:pPr>
      <w:hyperlink r:id="rId9">
        <w:r>
          <w:rPr>
            <w:color w:val="467886"/>
            <w:sz w:val="20"/>
            <w:szCs w:val="20"/>
            <w:u w:val="single"/>
          </w:rPr>
          <w:t>marina.gascon@newlink-group.com</w:t>
        </w:r>
      </w:hyperlink>
      <w:r>
        <w:rPr>
          <w:sz w:val="20"/>
          <w:szCs w:val="20"/>
        </w:rPr>
        <w:t xml:space="preserve"> </w:t>
      </w:r>
    </w:p>
    <w:p w14:paraId="4314873D" w14:textId="77777777" w:rsidR="00427662" w:rsidRDefault="00427662" w:rsidP="00427662">
      <w:pPr>
        <w:jc w:val="right"/>
        <w:rPr>
          <w:sz w:val="20"/>
          <w:szCs w:val="20"/>
        </w:rPr>
      </w:pPr>
      <w:r>
        <w:rPr>
          <w:sz w:val="20"/>
          <w:szCs w:val="20"/>
        </w:rPr>
        <w:t xml:space="preserve">+ 34 651 963 459 </w:t>
      </w:r>
    </w:p>
    <w:p w14:paraId="0594FC6A" w14:textId="77777777" w:rsidR="00427662" w:rsidRDefault="00427662" w:rsidP="00427662">
      <w:pPr>
        <w:jc w:val="right"/>
        <w:rPr>
          <w:sz w:val="20"/>
          <w:szCs w:val="20"/>
        </w:rPr>
      </w:pPr>
    </w:p>
    <w:p w14:paraId="3FA42C66" w14:textId="77777777" w:rsidR="00427662" w:rsidRDefault="00427662" w:rsidP="00427662">
      <w:pPr>
        <w:jc w:val="right"/>
        <w:rPr>
          <w:b/>
          <w:sz w:val="20"/>
          <w:szCs w:val="20"/>
        </w:rPr>
      </w:pPr>
      <w:r>
        <w:rPr>
          <w:b/>
          <w:color w:val="434343"/>
          <w:sz w:val="20"/>
          <w:szCs w:val="20"/>
        </w:rPr>
        <w:t>Marí</w:t>
      </w:r>
      <w:r>
        <w:rPr>
          <w:b/>
          <w:sz w:val="20"/>
          <w:szCs w:val="20"/>
        </w:rPr>
        <w:t>a Sánchez-Girón</w:t>
      </w:r>
    </w:p>
    <w:p w14:paraId="1848203F" w14:textId="77777777" w:rsidR="00427662" w:rsidRDefault="00427662" w:rsidP="00427662">
      <w:pPr>
        <w:jc w:val="right"/>
        <w:rPr>
          <w:sz w:val="20"/>
          <w:szCs w:val="20"/>
          <w:u w:val="single"/>
        </w:rPr>
      </w:pPr>
      <w:proofErr w:type="gramStart"/>
      <w:r>
        <w:rPr>
          <w:sz w:val="20"/>
          <w:szCs w:val="20"/>
          <w:u w:val="single"/>
        </w:rPr>
        <w:t>maria.sanchez</w:t>
      </w:r>
      <w:proofErr w:type="gramEnd"/>
      <w:r>
        <w:rPr>
          <w:sz w:val="20"/>
          <w:szCs w:val="20"/>
          <w:u w:val="single"/>
        </w:rPr>
        <w:t>-giron</w:t>
      </w:r>
      <w:hyperlink r:id="rId10">
        <w:r>
          <w:rPr>
            <w:color w:val="0563C1"/>
            <w:sz w:val="20"/>
            <w:szCs w:val="20"/>
            <w:u w:val="single"/>
          </w:rPr>
          <w:t>@newlink-group.com</w:t>
        </w:r>
      </w:hyperlink>
    </w:p>
    <w:p w14:paraId="2209C68A" w14:textId="77777777" w:rsidR="00427662" w:rsidRDefault="00427662" w:rsidP="00427662">
      <w:pPr>
        <w:jc w:val="right"/>
        <w:rPr>
          <w:sz w:val="20"/>
          <w:szCs w:val="20"/>
          <w:u w:val="single"/>
        </w:rPr>
      </w:pPr>
      <w:r>
        <w:rPr>
          <w:sz w:val="20"/>
          <w:szCs w:val="20"/>
        </w:rPr>
        <w:t>+34 653 125 545</w:t>
      </w:r>
    </w:p>
    <w:p w14:paraId="6C1251B4" w14:textId="77777777" w:rsidR="00427662" w:rsidRDefault="00427662" w:rsidP="00427662"/>
    <w:p w14:paraId="15D561BA" w14:textId="77777777" w:rsidR="00427662" w:rsidRDefault="00427662" w:rsidP="00427662"/>
    <w:p w14:paraId="4854ECA9" w14:textId="77777777" w:rsidR="001F172C" w:rsidRDefault="001F172C"/>
    <w:sectPr w:rsidR="001F172C">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B32511" w14:textId="77777777" w:rsidR="00B21274" w:rsidRDefault="00B21274" w:rsidP="006A4F48">
      <w:r>
        <w:separator/>
      </w:r>
    </w:p>
  </w:endnote>
  <w:endnote w:type="continuationSeparator" w:id="0">
    <w:p w14:paraId="3F8B3A8B" w14:textId="77777777" w:rsidR="00B21274" w:rsidRDefault="00B21274" w:rsidP="006A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1D27C6" w14:textId="77777777" w:rsidR="00B21274" w:rsidRDefault="00B21274" w:rsidP="006A4F48">
      <w:r>
        <w:separator/>
      </w:r>
    </w:p>
  </w:footnote>
  <w:footnote w:type="continuationSeparator" w:id="0">
    <w:p w14:paraId="2BD0FA65" w14:textId="77777777" w:rsidR="00B21274" w:rsidRDefault="00B21274" w:rsidP="006A4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A4CB79" w14:textId="5A716002" w:rsidR="006A4F48" w:rsidRDefault="006A4F48" w:rsidP="006A4F48">
    <w:pPr>
      <w:pStyle w:val="Encabezado"/>
      <w:jc w:val="center"/>
    </w:pPr>
    <w:r>
      <w:rPr>
        <w:noProof/>
        <w:color w:val="000000"/>
      </w:rPr>
      <w:drawing>
        <wp:inline distT="0" distB="0" distL="0" distR="0" wp14:anchorId="4A7D140E" wp14:editId="0E469EC0">
          <wp:extent cx="1581524" cy="615162"/>
          <wp:effectExtent l="0" t="0" r="0" b="0"/>
          <wp:docPr id="1706934830" name="image1.jp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1706934830" name="image1.jpg" descr="Logotipo, nombre de la empresa&#10;&#10;Descripción generada automáticamente"/>
                  <pic:cNvPicPr preferRelativeResize="0"/>
                </pic:nvPicPr>
                <pic:blipFill>
                  <a:blip r:embed="rId1"/>
                  <a:srcRect/>
                  <a:stretch>
                    <a:fillRect/>
                  </a:stretch>
                </pic:blipFill>
                <pic:spPr>
                  <a:xfrm>
                    <a:off x="0" y="0"/>
                    <a:ext cx="1581524" cy="6151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B102DA"/>
    <w:multiLevelType w:val="multilevel"/>
    <w:tmpl w:val="039254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3E5F77A2"/>
    <w:multiLevelType w:val="multilevel"/>
    <w:tmpl w:val="93605A82"/>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 w15:restartNumberingAfterBreak="0">
    <w:nsid w:val="55957D34"/>
    <w:multiLevelType w:val="multilevel"/>
    <w:tmpl w:val="F0664390"/>
    <w:lvl w:ilvl="0">
      <w:numFmt w:val="bullet"/>
      <w:lvlText w:val="-"/>
      <w:lvlJc w:val="left"/>
      <w:pPr>
        <w:ind w:left="720" w:hanging="360"/>
      </w:pPr>
      <w:rPr>
        <w:rFonts w:ascii="Century Gothic" w:eastAsia="Century Gothic" w:hAnsi="Century Gothic" w:cs="Century Gothic"/>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43739314">
    <w:abstractNumId w:val="0"/>
  </w:num>
  <w:num w:numId="2" w16cid:durableId="1275677004">
    <w:abstractNumId w:val="1"/>
  </w:num>
  <w:num w:numId="3" w16cid:durableId="1513881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27F"/>
    <w:rsid w:val="0006327F"/>
    <w:rsid w:val="001443B8"/>
    <w:rsid w:val="001F172C"/>
    <w:rsid w:val="00427662"/>
    <w:rsid w:val="006A4F48"/>
    <w:rsid w:val="008C0469"/>
    <w:rsid w:val="00B21274"/>
    <w:rsid w:val="00BA40D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0941"/>
  <w15:chartTrackingRefBased/>
  <w15:docId w15:val="{CE4757D6-4712-497D-BFF5-1849C4A6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662"/>
    <w:pPr>
      <w:spacing w:after="0" w:line="240" w:lineRule="auto"/>
    </w:pPr>
    <w:rPr>
      <w:rFonts w:ascii="Calibri" w:eastAsia="Calibri" w:hAnsi="Calibri" w:cs="Calibri"/>
      <w:kern w:val="0"/>
      <w:sz w:val="22"/>
      <w:szCs w:val="22"/>
      <w:lang w:eastAsia="es-ES"/>
      <w14:ligatures w14:val="none"/>
    </w:rPr>
  </w:style>
  <w:style w:type="paragraph" w:styleId="Ttulo1">
    <w:name w:val="heading 1"/>
    <w:basedOn w:val="Normal"/>
    <w:next w:val="Normal"/>
    <w:link w:val="Ttulo1Car"/>
    <w:uiPriority w:val="9"/>
    <w:qFormat/>
    <w:rsid w:val="000632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632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6327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6327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6327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6327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6327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6327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6327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6327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6327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6327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6327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6327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6327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6327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6327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6327F"/>
    <w:rPr>
      <w:rFonts w:eastAsiaTheme="majorEastAsia" w:cstheme="majorBidi"/>
      <w:color w:val="272727" w:themeColor="text1" w:themeTint="D8"/>
    </w:rPr>
  </w:style>
  <w:style w:type="paragraph" w:styleId="Ttulo">
    <w:name w:val="Title"/>
    <w:basedOn w:val="Normal"/>
    <w:next w:val="Normal"/>
    <w:link w:val="TtuloCar"/>
    <w:uiPriority w:val="10"/>
    <w:qFormat/>
    <w:rsid w:val="0006327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6327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6327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6327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6327F"/>
    <w:pPr>
      <w:spacing w:before="160"/>
      <w:jc w:val="center"/>
    </w:pPr>
    <w:rPr>
      <w:i/>
      <w:iCs/>
      <w:color w:val="404040" w:themeColor="text1" w:themeTint="BF"/>
    </w:rPr>
  </w:style>
  <w:style w:type="character" w:customStyle="1" w:styleId="CitaCar">
    <w:name w:val="Cita Car"/>
    <w:basedOn w:val="Fuentedeprrafopredeter"/>
    <w:link w:val="Cita"/>
    <w:uiPriority w:val="29"/>
    <w:rsid w:val="0006327F"/>
    <w:rPr>
      <w:i/>
      <w:iCs/>
      <w:color w:val="404040" w:themeColor="text1" w:themeTint="BF"/>
    </w:rPr>
  </w:style>
  <w:style w:type="paragraph" w:styleId="Prrafodelista">
    <w:name w:val="List Paragraph"/>
    <w:basedOn w:val="Normal"/>
    <w:uiPriority w:val="34"/>
    <w:qFormat/>
    <w:rsid w:val="0006327F"/>
    <w:pPr>
      <w:ind w:left="720"/>
      <w:contextualSpacing/>
    </w:pPr>
  </w:style>
  <w:style w:type="character" w:styleId="nfasisintenso">
    <w:name w:val="Intense Emphasis"/>
    <w:basedOn w:val="Fuentedeprrafopredeter"/>
    <w:uiPriority w:val="21"/>
    <w:qFormat/>
    <w:rsid w:val="0006327F"/>
    <w:rPr>
      <w:i/>
      <w:iCs/>
      <w:color w:val="0F4761" w:themeColor="accent1" w:themeShade="BF"/>
    </w:rPr>
  </w:style>
  <w:style w:type="paragraph" w:styleId="Citadestacada">
    <w:name w:val="Intense Quote"/>
    <w:basedOn w:val="Normal"/>
    <w:next w:val="Normal"/>
    <w:link w:val="CitadestacadaCar"/>
    <w:uiPriority w:val="30"/>
    <w:qFormat/>
    <w:rsid w:val="000632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6327F"/>
    <w:rPr>
      <w:i/>
      <w:iCs/>
      <w:color w:val="0F4761" w:themeColor="accent1" w:themeShade="BF"/>
    </w:rPr>
  </w:style>
  <w:style w:type="character" w:styleId="Referenciaintensa">
    <w:name w:val="Intense Reference"/>
    <w:basedOn w:val="Fuentedeprrafopredeter"/>
    <w:uiPriority w:val="32"/>
    <w:qFormat/>
    <w:rsid w:val="0006327F"/>
    <w:rPr>
      <w:b/>
      <w:bCs/>
      <w:smallCaps/>
      <w:color w:val="0F4761" w:themeColor="accent1" w:themeShade="BF"/>
      <w:spacing w:val="5"/>
    </w:rPr>
  </w:style>
  <w:style w:type="paragraph" w:styleId="Encabezado">
    <w:name w:val="header"/>
    <w:basedOn w:val="Normal"/>
    <w:link w:val="EncabezadoCar"/>
    <w:uiPriority w:val="99"/>
    <w:unhideWhenUsed/>
    <w:rsid w:val="006A4F48"/>
    <w:pPr>
      <w:tabs>
        <w:tab w:val="center" w:pos="4252"/>
        <w:tab w:val="right" w:pos="8504"/>
      </w:tabs>
    </w:pPr>
  </w:style>
  <w:style w:type="character" w:customStyle="1" w:styleId="EncabezadoCar">
    <w:name w:val="Encabezado Car"/>
    <w:basedOn w:val="Fuentedeprrafopredeter"/>
    <w:link w:val="Encabezado"/>
    <w:uiPriority w:val="99"/>
    <w:rsid w:val="006A4F48"/>
  </w:style>
  <w:style w:type="paragraph" w:styleId="Piedepgina">
    <w:name w:val="footer"/>
    <w:basedOn w:val="Normal"/>
    <w:link w:val="PiedepginaCar"/>
    <w:uiPriority w:val="99"/>
    <w:unhideWhenUsed/>
    <w:rsid w:val="006A4F48"/>
    <w:pPr>
      <w:tabs>
        <w:tab w:val="center" w:pos="4252"/>
        <w:tab w:val="right" w:pos="8504"/>
      </w:tabs>
    </w:pPr>
  </w:style>
  <w:style w:type="character" w:customStyle="1" w:styleId="PiedepginaCar">
    <w:name w:val="Pie de página Car"/>
    <w:basedOn w:val="Fuentedeprrafopredeter"/>
    <w:link w:val="Piedepgina"/>
    <w:uiPriority w:val="99"/>
    <w:rsid w:val="006A4F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earephenix.com/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wearephenix.com/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mailto:marina.gascon@newlink-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1149</Words>
  <Characters>6321</Characters>
  <Application>Microsoft Office Word</Application>
  <DocSecurity>0</DocSecurity>
  <Lines>52</Lines>
  <Paragraphs>14</Paragraphs>
  <ScaleCrop>false</ScaleCrop>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Sánchez-Girón</dc:creator>
  <cp:keywords/>
  <dc:description/>
  <cp:lastModifiedBy>María Sánchez-Girón</cp:lastModifiedBy>
  <cp:revision>3</cp:revision>
  <dcterms:created xsi:type="dcterms:W3CDTF">2024-11-12T08:49:00Z</dcterms:created>
  <dcterms:modified xsi:type="dcterms:W3CDTF">2024-11-12T08:50:00Z</dcterms:modified>
</cp:coreProperties>
</file>