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C2F404" w14:textId="77777777" w:rsidR="001F172C" w:rsidRDefault="001F172C"/>
    <w:p w14:paraId="5527E60F" w14:textId="77777777" w:rsidR="00526099" w:rsidRDefault="00526099" w:rsidP="00526099">
      <w:pPr>
        <w:jc w:val="center"/>
        <w:rPr>
          <w:rFonts w:ascii="Century Gothic" w:eastAsia="Century Gothic" w:hAnsi="Century Gothic" w:cs="Century Gothic"/>
          <w:b/>
          <w:color w:val="C55911"/>
          <w:sz w:val="34"/>
          <w:szCs w:val="34"/>
        </w:rPr>
      </w:pPr>
    </w:p>
    <w:p w14:paraId="43F9D1EA" w14:textId="019BE835" w:rsidR="00526099" w:rsidRDefault="00526099" w:rsidP="00526099">
      <w:pPr>
        <w:jc w:val="center"/>
        <w:rPr>
          <w:rFonts w:ascii="Century Gothic" w:eastAsia="Century Gothic" w:hAnsi="Century Gothic" w:cs="Century Gothic"/>
          <w:b/>
          <w:color w:val="C55911"/>
          <w:sz w:val="34"/>
          <w:szCs w:val="34"/>
        </w:rPr>
      </w:pPr>
      <w:r>
        <w:rPr>
          <w:rFonts w:ascii="Century Gothic" w:eastAsia="Century Gothic" w:hAnsi="Century Gothic" w:cs="Century Gothic"/>
          <w:b/>
          <w:color w:val="C55911"/>
          <w:sz w:val="34"/>
          <w:szCs w:val="34"/>
        </w:rPr>
        <w:t xml:space="preserve">Areas Iberia recupera 112 toneladas de alimentos con la ayuda de Phenix </w:t>
      </w:r>
    </w:p>
    <w:p w14:paraId="582EA1CD" w14:textId="77777777" w:rsidR="00526099" w:rsidRDefault="00526099"/>
    <w:p w14:paraId="4828C1E7" w14:textId="77777777" w:rsidR="00F046E8" w:rsidRDefault="00F046E8" w:rsidP="00F046E8">
      <w:pPr>
        <w:numPr>
          <w:ilvl w:val="0"/>
          <w:numId w:val="1"/>
        </w:numPr>
        <w:pBdr>
          <w:top w:val="nil"/>
          <w:left w:val="nil"/>
          <w:bottom w:val="nil"/>
          <w:right w:val="nil"/>
          <w:between w:val="nil"/>
        </w:pBdr>
        <w:jc w:val="both"/>
        <w:rPr>
          <w:rFonts w:ascii="Century Gothic" w:eastAsia="Century Gothic" w:hAnsi="Century Gothic" w:cs="Century Gothic"/>
          <w:b/>
        </w:rPr>
      </w:pPr>
      <w:r>
        <w:rPr>
          <w:rFonts w:ascii="Century Gothic" w:eastAsia="Century Gothic" w:hAnsi="Century Gothic" w:cs="Century Gothic"/>
          <w:b/>
        </w:rPr>
        <w:t>En 4 años de colaboración, Areas y Phenix han implantado un sistema de gestión del excedente alimentario en 3 aeropuertos, 1 almacén y 1 centro de convenciones</w:t>
      </w:r>
    </w:p>
    <w:p w14:paraId="5EA38625" w14:textId="77777777" w:rsidR="00F046E8" w:rsidRDefault="00F046E8" w:rsidP="00F046E8">
      <w:pPr>
        <w:pBdr>
          <w:top w:val="nil"/>
          <w:left w:val="nil"/>
          <w:bottom w:val="nil"/>
          <w:right w:val="nil"/>
          <w:between w:val="nil"/>
        </w:pBdr>
        <w:ind w:left="720"/>
        <w:jc w:val="both"/>
        <w:rPr>
          <w:rFonts w:ascii="Century Gothic" w:eastAsia="Century Gothic" w:hAnsi="Century Gothic" w:cs="Century Gothic"/>
          <w:b/>
        </w:rPr>
      </w:pPr>
    </w:p>
    <w:p w14:paraId="425E215E" w14:textId="77777777" w:rsidR="00F046E8" w:rsidRDefault="00F046E8" w:rsidP="00F046E8">
      <w:pPr>
        <w:numPr>
          <w:ilvl w:val="0"/>
          <w:numId w:val="1"/>
        </w:numPr>
        <w:pBdr>
          <w:top w:val="nil"/>
          <w:left w:val="nil"/>
          <w:bottom w:val="nil"/>
          <w:right w:val="nil"/>
          <w:between w:val="nil"/>
        </w:pBdr>
        <w:jc w:val="both"/>
        <w:rPr>
          <w:rFonts w:ascii="Century Gothic" w:eastAsia="Century Gothic" w:hAnsi="Century Gothic" w:cs="Century Gothic"/>
          <w:b/>
        </w:rPr>
      </w:pPr>
      <w:r>
        <w:rPr>
          <w:rFonts w:ascii="Century Gothic" w:eastAsia="Century Gothic" w:hAnsi="Century Gothic" w:cs="Century Gothic"/>
          <w:b/>
        </w:rPr>
        <w:t>Desde que unieron fuerzas en 2019, Areas ha evitado la emisión de más de 245 toneladas de CO2</w:t>
      </w:r>
    </w:p>
    <w:p w14:paraId="3032EA84" w14:textId="77777777" w:rsidR="00F046E8" w:rsidRPr="000C0562" w:rsidRDefault="00F046E8" w:rsidP="00F046E8">
      <w:pPr>
        <w:pBdr>
          <w:top w:val="nil"/>
          <w:left w:val="nil"/>
          <w:bottom w:val="nil"/>
          <w:right w:val="nil"/>
          <w:between w:val="nil"/>
        </w:pBdr>
        <w:ind w:left="720"/>
        <w:jc w:val="both"/>
        <w:rPr>
          <w:rFonts w:ascii="Century Gothic" w:eastAsia="Century Gothic" w:hAnsi="Century Gothic" w:cs="Century Gothic"/>
        </w:rPr>
      </w:pPr>
    </w:p>
    <w:p w14:paraId="2C5B9BDA" w14:textId="77777777" w:rsidR="00F046E8" w:rsidRDefault="00F046E8" w:rsidP="00F046E8">
      <w:pPr>
        <w:numPr>
          <w:ilvl w:val="0"/>
          <w:numId w:val="1"/>
        </w:numPr>
        <w:pBdr>
          <w:top w:val="nil"/>
          <w:left w:val="nil"/>
          <w:bottom w:val="nil"/>
          <w:right w:val="nil"/>
          <w:between w:val="nil"/>
        </w:pBdr>
        <w:jc w:val="both"/>
        <w:rPr>
          <w:rFonts w:ascii="Century Gothic" w:eastAsia="Century Gothic" w:hAnsi="Century Gothic" w:cs="Century Gothic"/>
          <w:b/>
          <w:color w:val="000000"/>
        </w:rPr>
      </w:pPr>
      <w:r>
        <w:rPr>
          <w:rFonts w:ascii="Century Gothic" w:eastAsia="Century Gothic" w:hAnsi="Century Gothic" w:cs="Century Gothic"/>
          <w:b/>
        </w:rPr>
        <w:t xml:space="preserve">Desde la implementación del proyecto, Areas ha salvado 207.000 raciones de comida, lo que equivale a más de 112 toneladas de alimentos </w:t>
      </w:r>
    </w:p>
    <w:p w14:paraId="1903F709" w14:textId="77777777" w:rsidR="00F046E8" w:rsidRDefault="00F046E8"/>
    <w:p w14:paraId="6977BB60" w14:textId="77777777" w:rsidR="00FE4733" w:rsidRDefault="00FE4733" w:rsidP="00FE4733">
      <w:pPr>
        <w:spacing w:after="240" w:line="360" w:lineRule="auto"/>
        <w:jc w:val="both"/>
        <w:rPr>
          <w:rFonts w:ascii="Century Gothic" w:eastAsia="Century Gothic" w:hAnsi="Century Gothic" w:cs="Century Gothic"/>
          <w:sz w:val="20"/>
          <w:szCs w:val="20"/>
        </w:rPr>
      </w:pPr>
      <w:r>
        <w:rPr>
          <w:rFonts w:ascii="Century Gothic" w:eastAsia="Century Gothic" w:hAnsi="Century Gothic" w:cs="Century Gothic"/>
          <w:b/>
          <w:sz w:val="20"/>
          <w:szCs w:val="20"/>
        </w:rPr>
        <w:t>Madrid</w:t>
      </w:r>
      <w:r w:rsidRPr="00A13759">
        <w:rPr>
          <w:rFonts w:ascii="Century Gothic" w:eastAsia="Century Gothic" w:hAnsi="Century Gothic" w:cs="Century Gothic"/>
          <w:b/>
          <w:sz w:val="20"/>
          <w:szCs w:val="20"/>
        </w:rPr>
        <w:t xml:space="preserve">, 12 de diciembre </w:t>
      </w:r>
      <w:r>
        <w:rPr>
          <w:rFonts w:ascii="Century Gothic" w:eastAsia="Century Gothic" w:hAnsi="Century Gothic" w:cs="Century Gothic"/>
          <w:b/>
          <w:sz w:val="20"/>
          <w:szCs w:val="20"/>
        </w:rPr>
        <w:t>de 2024 - Areas</w:t>
      </w:r>
      <w:r>
        <w:rPr>
          <w:rFonts w:ascii="Century Gothic" w:eastAsia="Century Gothic" w:hAnsi="Century Gothic" w:cs="Century Gothic"/>
          <w:sz w:val="20"/>
          <w:szCs w:val="20"/>
        </w:rPr>
        <w:t xml:space="preserve">, </w:t>
      </w:r>
      <w:r w:rsidRPr="00A072F3">
        <w:rPr>
          <w:rFonts w:ascii="Century Gothic" w:eastAsia="Century Gothic" w:hAnsi="Century Gothic" w:cs="Century Gothic"/>
          <w:sz w:val="20"/>
          <w:szCs w:val="20"/>
        </w:rPr>
        <w:t>multinacional española líder en restauración en el mundo de los viajes</w:t>
      </w:r>
      <w:r>
        <w:rPr>
          <w:rFonts w:ascii="Century Gothic" w:eastAsia="Century Gothic" w:hAnsi="Century Gothic" w:cs="Century Gothic"/>
          <w:sz w:val="20"/>
          <w:szCs w:val="20"/>
        </w:rPr>
        <w:t xml:space="preserve">, en colaboración con </w:t>
      </w:r>
      <w:hyperlink r:id="rId7">
        <w:r>
          <w:rPr>
            <w:rFonts w:ascii="Century Gothic" w:eastAsia="Century Gothic" w:hAnsi="Century Gothic" w:cs="Century Gothic"/>
            <w:color w:val="0563C1"/>
            <w:sz w:val="20"/>
            <w:szCs w:val="20"/>
            <w:u w:val="single"/>
          </w:rPr>
          <w:t>Phenix</w:t>
        </w:r>
      </w:hyperlink>
      <w:r>
        <w:rPr>
          <w:rFonts w:ascii="Century Gothic" w:eastAsia="Century Gothic" w:hAnsi="Century Gothic" w:cs="Century Gothic"/>
          <w:sz w:val="20"/>
          <w:szCs w:val="20"/>
        </w:rPr>
        <w:t>,</w:t>
      </w:r>
      <w:r>
        <w:rPr>
          <w:rFonts w:ascii="Century Gothic" w:eastAsia="Century Gothic" w:hAnsi="Century Gothic" w:cs="Century Gothic"/>
          <w:b/>
          <w:sz w:val="20"/>
          <w:szCs w:val="20"/>
        </w:rPr>
        <w:t xml:space="preserve"> </w:t>
      </w:r>
      <w:r>
        <w:rPr>
          <w:rFonts w:ascii="Century Gothic" w:eastAsia="Century Gothic" w:hAnsi="Century Gothic" w:cs="Century Gothic"/>
          <w:sz w:val="20"/>
          <w:szCs w:val="20"/>
        </w:rPr>
        <w:t xml:space="preserve">empresa especializada en la gestión del excedente alimentario en la gran distribución alimentaria en España, ha conseguido recuperar </w:t>
      </w:r>
      <w:r>
        <w:rPr>
          <w:rFonts w:ascii="Century Gothic" w:eastAsia="Century Gothic" w:hAnsi="Century Gothic" w:cs="Century Gothic"/>
          <w:b/>
          <w:sz w:val="20"/>
          <w:szCs w:val="20"/>
        </w:rPr>
        <w:t>más de 112 toneladas de alimentos</w:t>
      </w:r>
      <w:r>
        <w:rPr>
          <w:rFonts w:ascii="Century Gothic" w:eastAsia="Century Gothic" w:hAnsi="Century Gothic" w:cs="Century Gothic"/>
          <w:sz w:val="20"/>
          <w:szCs w:val="20"/>
        </w:rPr>
        <w:t xml:space="preserve">, lo que equivale a </w:t>
      </w:r>
      <w:r>
        <w:rPr>
          <w:rFonts w:ascii="Century Gothic" w:eastAsia="Century Gothic" w:hAnsi="Century Gothic" w:cs="Century Gothic"/>
          <w:b/>
          <w:sz w:val="20"/>
          <w:szCs w:val="20"/>
        </w:rPr>
        <w:t xml:space="preserve">207.000 raciones de comida </w:t>
      </w:r>
      <w:r>
        <w:rPr>
          <w:rFonts w:ascii="Century Gothic" w:eastAsia="Century Gothic" w:hAnsi="Century Gothic" w:cs="Century Gothic"/>
          <w:sz w:val="20"/>
          <w:szCs w:val="20"/>
        </w:rPr>
        <w:t xml:space="preserve">mediante donaciones en </w:t>
      </w:r>
      <w:r>
        <w:rPr>
          <w:rFonts w:ascii="Century Gothic" w:eastAsia="Century Gothic" w:hAnsi="Century Gothic" w:cs="Century Gothic"/>
          <w:b/>
          <w:sz w:val="20"/>
          <w:szCs w:val="20"/>
        </w:rPr>
        <w:t>3 aeropuertos, 1 almacén y 1 centro de convenciones.</w:t>
      </w:r>
    </w:p>
    <w:p w14:paraId="315C3C46" w14:textId="77777777" w:rsidR="00FE4733" w:rsidRDefault="00FE4733" w:rsidP="00FE4733">
      <w:pPr>
        <w:spacing w:after="240" w:line="360" w:lineRule="auto"/>
        <w:jc w:val="both"/>
        <w:rPr>
          <w:rFonts w:ascii="Century Gothic" w:eastAsia="Century Gothic" w:hAnsi="Century Gothic" w:cs="Century Gothic"/>
          <w:sz w:val="20"/>
          <w:szCs w:val="20"/>
        </w:rPr>
      </w:pPr>
      <w:r>
        <w:rPr>
          <w:rFonts w:ascii="Century Gothic" w:eastAsia="Century Gothic" w:hAnsi="Century Gothic" w:cs="Century Gothic"/>
          <w:sz w:val="20"/>
          <w:szCs w:val="20"/>
        </w:rPr>
        <w:t>Desde que Phenix y Areas unieron fuerzas en 2019, se ha implementado un sistema de gestión del excedente de alimentos con el que se ha evitado que se desperdicien más de 245 toneladas de CO2, con el objetivo de evitar el desperdicio y generar un modelo de donaciones diarias a asociaciones locales que impulse la eficiencia operacional.</w:t>
      </w:r>
    </w:p>
    <w:p w14:paraId="3A812092" w14:textId="77777777" w:rsidR="00FE4733" w:rsidRDefault="00FE4733" w:rsidP="00FE4733">
      <w:pPr>
        <w:pBdr>
          <w:top w:val="nil"/>
          <w:left w:val="nil"/>
          <w:bottom w:val="nil"/>
          <w:right w:val="nil"/>
          <w:between w:val="nil"/>
        </w:pBdr>
        <w:spacing w:after="240" w:line="360" w:lineRule="auto"/>
        <w:jc w:val="both"/>
        <w:rPr>
          <w:rFonts w:ascii="Century Gothic" w:eastAsia="Century Gothic" w:hAnsi="Century Gothic" w:cs="Century Gothic"/>
          <w:b/>
          <w:sz w:val="20"/>
          <w:szCs w:val="20"/>
        </w:rPr>
      </w:pPr>
      <w:r>
        <w:rPr>
          <w:rFonts w:ascii="Century Gothic" w:eastAsia="Century Gothic" w:hAnsi="Century Gothic" w:cs="Century Gothic"/>
          <w:b/>
          <w:sz w:val="20"/>
          <w:szCs w:val="20"/>
        </w:rPr>
        <w:t>Un proyecto con un fuerte impacto social, ambiental y económico</w:t>
      </w:r>
    </w:p>
    <w:p w14:paraId="06CB6466" w14:textId="77777777" w:rsidR="00FE4733" w:rsidRDefault="00FE4733" w:rsidP="00FE4733">
      <w:pPr>
        <w:pBdr>
          <w:top w:val="nil"/>
          <w:left w:val="nil"/>
          <w:bottom w:val="nil"/>
          <w:right w:val="nil"/>
          <w:between w:val="nil"/>
        </w:pBdr>
        <w:spacing w:after="240" w:line="360" w:lineRule="auto"/>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Bajo su </w:t>
      </w:r>
      <w:r w:rsidRPr="00B80CFF">
        <w:rPr>
          <w:rFonts w:ascii="Century Gothic" w:eastAsia="Century Gothic" w:hAnsi="Century Gothic" w:cs="Century Gothic"/>
          <w:sz w:val="20"/>
          <w:szCs w:val="20"/>
        </w:rPr>
        <w:t xml:space="preserve">estrategia ESG </w:t>
      </w:r>
      <w:r w:rsidRPr="00A13759">
        <w:rPr>
          <w:rFonts w:ascii="Century Gothic" w:eastAsia="Century Gothic" w:hAnsi="Century Gothic" w:cs="Century Gothic"/>
          <w:b/>
          <w:bCs/>
          <w:sz w:val="20"/>
          <w:szCs w:val="20"/>
        </w:rPr>
        <w:t xml:space="preserve">“Areas </w:t>
      </w:r>
      <w:proofErr w:type="spellStart"/>
      <w:r w:rsidRPr="00A13759">
        <w:rPr>
          <w:rFonts w:ascii="Century Gothic" w:eastAsia="Century Gothic" w:hAnsi="Century Gothic" w:cs="Century Gothic"/>
          <w:b/>
          <w:bCs/>
          <w:sz w:val="20"/>
          <w:szCs w:val="20"/>
        </w:rPr>
        <w:t>for</w:t>
      </w:r>
      <w:proofErr w:type="spellEnd"/>
      <w:r w:rsidRPr="00A13759">
        <w:rPr>
          <w:rFonts w:ascii="Century Gothic" w:eastAsia="Century Gothic" w:hAnsi="Century Gothic" w:cs="Century Gothic"/>
          <w:b/>
          <w:bCs/>
          <w:sz w:val="20"/>
          <w:szCs w:val="20"/>
        </w:rPr>
        <w:t xml:space="preserve"> Change”</w:t>
      </w:r>
      <w:r w:rsidRPr="00B80CFF">
        <w:rPr>
          <w:rFonts w:ascii="Century Gothic" w:eastAsia="Century Gothic" w:hAnsi="Century Gothic" w:cs="Century Gothic"/>
          <w:sz w:val="20"/>
          <w:szCs w:val="20"/>
        </w:rPr>
        <w:t>,</w:t>
      </w:r>
      <w:r>
        <w:rPr>
          <w:rFonts w:ascii="Century Gothic" w:eastAsia="Century Gothic" w:hAnsi="Century Gothic" w:cs="Century Gothic"/>
          <w:sz w:val="20"/>
          <w:szCs w:val="20"/>
        </w:rPr>
        <w:t xml:space="preserve"> Areas trabaja para reducir su impacto ambiental, apoyar a las comunidades vulnerables y </w:t>
      </w:r>
      <w:r w:rsidRPr="007A1D83">
        <w:rPr>
          <w:rFonts w:ascii="Century Gothic" w:eastAsia="Century Gothic" w:hAnsi="Century Gothic" w:cs="Century Gothic"/>
          <w:sz w:val="20"/>
          <w:szCs w:val="20"/>
        </w:rPr>
        <w:t>promover prácticas responsables para proteger el planeta</w:t>
      </w:r>
      <w:r>
        <w:rPr>
          <w:rFonts w:ascii="Century Gothic" w:eastAsia="Century Gothic" w:hAnsi="Century Gothic" w:cs="Century Gothic"/>
          <w:sz w:val="20"/>
          <w:szCs w:val="20"/>
        </w:rPr>
        <w:t xml:space="preserve">. En este marco, en 2019 </w:t>
      </w:r>
      <w:r>
        <w:rPr>
          <w:rFonts w:ascii="Century Gothic" w:eastAsia="Century Gothic" w:hAnsi="Century Gothic" w:cs="Century Gothic"/>
          <w:b/>
          <w:sz w:val="20"/>
          <w:szCs w:val="20"/>
        </w:rPr>
        <w:t>decidió asociarse con Phenix con el objetivo de gestionar su excedente alimentario de manera eficiente y así reducir el desperdicio diario</w:t>
      </w:r>
      <w:r>
        <w:rPr>
          <w:rFonts w:ascii="Century Gothic" w:eastAsia="Century Gothic" w:hAnsi="Century Gothic" w:cs="Century Gothic"/>
          <w:sz w:val="20"/>
          <w:szCs w:val="20"/>
        </w:rPr>
        <w:t xml:space="preserve">, integrando procesos de donación en aeropuertos y otros establecimientos. </w:t>
      </w:r>
    </w:p>
    <w:p w14:paraId="43D74AFC" w14:textId="77777777" w:rsidR="00FE4733" w:rsidRDefault="00FE4733" w:rsidP="00FE4733">
      <w:pPr>
        <w:pBdr>
          <w:top w:val="nil"/>
          <w:left w:val="nil"/>
          <w:bottom w:val="nil"/>
          <w:right w:val="nil"/>
          <w:between w:val="nil"/>
        </w:pBdr>
        <w:spacing w:after="240" w:line="360" w:lineRule="auto"/>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El proyecto se implementó en establecimientos de los aeropuertos de Barcelona, Madrid y Palma de Mallorca, además de un almacén y un centro de convenciones, e implicó la </w:t>
      </w:r>
      <w:r>
        <w:rPr>
          <w:rFonts w:ascii="Century Gothic" w:eastAsia="Century Gothic" w:hAnsi="Century Gothic" w:cs="Century Gothic"/>
          <w:b/>
          <w:sz w:val="20"/>
          <w:szCs w:val="20"/>
        </w:rPr>
        <w:t>formación del personal en buenas prácticas</w:t>
      </w:r>
      <w:r>
        <w:rPr>
          <w:rFonts w:ascii="Century Gothic" w:eastAsia="Century Gothic" w:hAnsi="Century Gothic" w:cs="Century Gothic"/>
          <w:sz w:val="20"/>
          <w:szCs w:val="20"/>
        </w:rPr>
        <w:t xml:space="preserve">, así como la implementación de un </w:t>
      </w:r>
      <w:r>
        <w:rPr>
          <w:rFonts w:ascii="Century Gothic" w:eastAsia="Century Gothic" w:hAnsi="Century Gothic" w:cs="Century Gothic"/>
          <w:b/>
          <w:sz w:val="20"/>
          <w:szCs w:val="20"/>
        </w:rPr>
        <w:t>sistema escalable de gestión</w:t>
      </w:r>
      <w:r>
        <w:rPr>
          <w:rFonts w:ascii="Century Gothic" w:eastAsia="Century Gothic" w:hAnsi="Century Gothic" w:cs="Century Gothic"/>
          <w:sz w:val="20"/>
          <w:szCs w:val="20"/>
        </w:rPr>
        <w:t xml:space="preserve"> que permite valorizar los excedentes y asegurar un control y trazabilidad total de los productos donados.</w:t>
      </w:r>
    </w:p>
    <w:p w14:paraId="35648CA6" w14:textId="77777777" w:rsidR="00FE4733" w:rsidRDefault="00FE4733" w:rsidP="00FE4733">
      <w:pPr>
        <w:pBdr>
          <w:top w:val="nil"/>
          <w:left w:val="nil"/>
          <w:bottom w:val="nil"/>
          <w:right w:val="nil"/>
          <w:between w:val="nil"/>
        </w:pBdr>
        <w:spacing w:after="240" w:line="360" w:lineRule="auto"/>
        <w:jc w:val="both"/>
        <w:rPr>
          <w:rFonts w:ascii="Century Gothic" w:eastAsia="Century Gothic" w:hAnsi="Century Gothic" w:cs="Century Gothic"/>
          <w:sz w:val="20"/>
          <w:szCs w:val="20"/>
        </w:rPr>
      </w:pPr>
      <w:r>
        <w:rPr>
          <w:rFonts w:ascii="Century Gothic" w:eastAsia="Century Gothic" w:hAnsi="Century Gothic" w:cs="Century Gothic"/>
          <w:sz w:val="20"/>
          <w:szCs w:val="20"/>
        </w:rPr>
        <w:lastRenderedPageBreak/>
        <w:t xml:space="preserve">En cada ciudad, </w:t>
      </w:r>
      <w:r>
        <w:rPr>
          <w:rFonts w:ascii="Century Gothic" w:eastAsia="Century Gothic" w:hAnsi="Century Gothic" w:cs="Century Gothic"/>
          <w:b/>
          <w:sz w:val="20"/>
          <w:szCs w:val="20"/>
        </w:rPr>
        <w:t>se trabaja</w:t>
      </w:r>
      <w:r>
        <w:rPr>
          <w:rFonts w:ascii="Century Gothic" w:eastAsia="Century Gothic" w:hAnsi="Century Gothic" w:cs="Century Gothic"/>
          <w:sz w:val="20"/>
          <w:szCs w:val="20"/>
        </w:rPr>
        <w:t xml:space="preserve"> </w:t>
      </w:r>
      <w:r>
        <w:rPr>
          <w:rFonts w:ascii="Century Gothic" w:eastAsia="Century Gothic" w:hAnsi="Century Gothic" w:cs="Century Gothic"/>
          <w:b/>
          <w:sz w:val="20"/>
          <w:szCs w:val="20"/>
        </w:rPr>
        <w:t>con una o varias asociaciones locales de ayuda social para la distribución de alimentos</w:t>
      </w:r>
      <w:r>
        <w:rPr>
          <w:rFonts w:ascii="Century Gothic" w:eastAsia="Century Gothic" w:hAnsi="Century Gothic" w:cs="Century Gothic"/>
          <w:sz w:val="20"/>
          <w:szCs w:val="20"/>
        </w:rPr>
        <w:t xml:space="preserve">. </w:t>
      </w:r>
    </w:p>
    <w:p w14:paraId="6D7493BE" w14:textId="77777777" w:rsidR="00FE4733" w:rsidRDefault="00FE4733" w:rsidP="00FE4733">
      <w:pPr>
        <w:pBdr>
          <w:top w:val="nil"/>
          <w:left w:val="nil"/>
          <w:bottom w:val="nil"/>
          <w:right w:val="nil"/>
          <w:between w:val="nil"/>
        </w:pBdr>
        <w:spacing w:after="240" w:line="360" w:lineRule="auto"/>
        <w:jc w:val="both"/>
        <w:rPr>
          <w:rFonts w:ascii="Century Gothic" w:eastAsia="Century Gothic" w:hAnsi="Century Gothic" w:cs="Century Gothic"/>
          <w:sz w:val="20"/>
          <w:szCs w:val="20"/>
          <w:highlight w:val="yellow"/>
        </w:rPr>
      </w:pPr>
      <w:r>
        <w:rPr>
          <w:rFonts w:ascii="Century Gothic" w:eastAsia="Century Gothic" w:hAnsi="Century Gothic" w:cs="Century Gothic"/>
          <w:sz w:val="20"/>
          <w:szCs w:val="20"/>
        </w:rPr>
        <w:t xml:space="preserve">En Palma de Mallorca, por ejemplo, el Banco de Alimentos de Mallorca recoge los excedentes alimentarios del aeropuerto de la isla y los distribuye entre unas 100 organizaciones y entidades sociales en la isla. A través de estas asociaciones, distribuye alimentos y productos básicos a personas en situación de vulnerabilidad, atendiendo a una población beneficiaria de alrededor de 30.000 personas. </w:t>
      </w:r>
    </w:p>
    <w:p w14:paraId="2C54DF41" w14:textId="77777777" w:rsidR="00FE4733" w:rsidRDefault="00FE4733" w:rsidP="00FE4733">
      <w:pPr>
        <w:pBdr>
          <w:top w:val="nil"/>
          <w:left w:val="nil"/>
          <w:bottom w:val="nil"/>
          <w:right w:val="nil"/>
          <w:between w:val="nil"/>
        </w:pBdr>
        <w:spacing w:after="240" w:line="360" w:lineRule="auto"/>
        <w:jc w:val="both"/>
        <w:rPr>
          <w:rFonts w:ascii="Century Gothic" w:eastAsia="Century Gothic" w:hAnsi="Century Gothic" w:cs="Century Gothic"/>
          <w:sz w:val="20"/>
          <w:szCs w:val="20"/>
        </w:rPr>
      </w:pPr>
      <w:r>
        <w:rPr>
          <w:rFonts w:ascii="Century Gothic" w:eastAsia="Century Gothic" w:hAnsi="Century Gothic" w:cs="Century Gothic"/>
          <w:b/>
          <w:sz w:val="20"/>
          <w:szCs w:val="20"/>
        </w:rPr>
        <w:t xml:space="preserve">Jean-Baptiste </w:t>
      </w:r>
      <w:proofErr w:type="spellStart"/>
      <w:r>
        <w:rPr>
          <w:rFonts w:ascii="Century Gothic" w:eastAsia="Century Gothic" w:hAnsi="Century Gothic" w:cs="Century Gothic"/>
          <w:b/>
          <w:sz w:val="20"/>
          <w:szCs w:val="20"/>
        </w:rPr>
        <w:t>Boubault</w:t>
      </w:r>
      <w:proofErr w:type="spellEnd"/>
      <w:r>
        <w:rPr>
          <w:rFonts w:ascii="Century Gothic" w:eastAsia="Century Gothic" w:hAnsi="Century Gothic" w:cs="Century Gothic"/>
          <w:b/>
          <w:sz w:val="20"/>
          <w:szCs w:val="20"/>
        </w:rPr>
        <w:t>, director de Phenix España</w:t>
      </w:r>
      <w:r>
        <w:rPr>
          <w:rFonts w:ascii="Century Gothic" w:eastAsia="Century Gothic" w:hAnsi="Century Gothic" w:cs="Century Gothic"/>
          <w:sz w:val="20"/>
          <w:szCs w:val="20"/>
        </w:rPr>
        <w:t xml:space="preserve">, resalta la importancia de esta colaboración a largo plazo: </w:t>
      </w:r>
      <w:r>
        <w:rPr>
          <w:rFonts w:ascii="Century Gothic" w:eastAsia="Century Gothic" w:hAnsi="Century Gothic" w:cs="Century Gothic"/>
          <w:i/>
          <w:sz w:val="20"/>
          <w:szCs w:val="20"/>
        </w:rPr>
        <w:t>"Areas es nuestro proyecto más antiguo, y los resultados obtenidos a lo largo de estos cuatro años son una prueba del impacto positivo que la gestión del excedente alimentario puede tener en las empresas y en la sociedad. Juntos, hemos logrado no solo reducir significativamente el desperdicio de alimentos, sino también generar un cambio en las comunidades a las que apoyamos. Este proyecto demuestra que, con la implementación de soluciones sostenibles, es posible crear un modelo económico que sea rentable y a la vez responsable con el medio ambiente y las personas"</w:t>
      </w:r>
      <w:r>
        <w:rPr>
          <w:rFonts w:ascii="Century Gothic" w:eastAsia="Century Gothic" w:hAnsi="Century Gothic" w:cs="Century Gothic"/>
          <w:sz w:val="20"/>
          <w:szCs w:val="20"/>
        </w:rPr>
        <w:t>.</w:t>
      </w:r>
    </w:p>
    <w:p w14:paraId="4F058493" w14:textId="77777777" w:rsidR="00FE4733" w:rsidRDefault="00FE4733" w:rsidP="00FE4733">
      <w:pPr>
        <w:pBdr>
          <w:top w:val="nil"/>
          <w:left w:val="nil"/>
          <w:bottom w:val="nil"/>
          <w:right w:val="nil"/>
          <w:between w:val="nil"/>
        </w:pBdr>
        <w:spacing w:after="240" w:line="360" w:lineRule="auto"/>
        <w:jc w:val="both"/>
        <w:rPr>
          <w:rFonts w:ascii="Century Gothic" w:eastAsia="Century Gothic" w:hAnsi="Century Gothic" w:cs="Century Gothic"/>
          <w:i/>
          <w:sz w:val="20"/>
          <w:szCs w:val="20"/>
        </w:rPr>
      </w:pPr>
      <w:r>
        <w:rPr>
          <w:rFonts w:ascii="Century Gothic" w:eastAsia="Century Gothic" w:hAnsi="Century Gothic" w:cs="Century Gothic"/>
          <w:sz w:val="20"/>
          <w:szCs w:val="20"/>
        </w:rPr>
        <w:t xml:space="preserve">Por su </w:t>
      </w:r>
      <w:r>
        <w:rPr>
          <w:rFonts w:ascii="Century Gothic" w:eastAsia="Century Gothic" w:hAnsi="Century Gothic" w:cs="Century Gothic"/>
          <w:sz w:val="20"/>
          <w:szCs w:val="20"/>
          <w:highlight w:val="white"/>
        </w:rPr>
        <w:t xml:space="preserve">parte, </w:t>
      </w:r>
      <w:r>
        <w:rPr>
          <w:rFonts w:ascii="Century Gothic" w:eastAsia="Century Gothic" w:hAnsi="Century Gothic" w:cs="Century Gothic"/>
          <w:b/>
          <w:sz w:val="20"/>
          <w:szCs w:val="20"/>
          <w:highlight w:val="white"/>
        </w:rPr>
        <w:t>Marta Álvarez, responsable de Calidad d</w:t>
      </w:r>
      <w:r>
        <w:rPr>
          <w:rFonts w:ascii="Century Gothic" w:eastAsia="Century Gothic" w:hAnsi="Century Gothic" w:cs="Century Gothic"/>
          <w:b/>
          <w:sz w:val="20"/>
          <w:szCs w:val="20"/>
        </w:rPr>
        <w:t>e Areas Iberia</w:t>
      </w:r>
      <w:r>
        <w:rPr>
          <w:rFonts w:ascii="Century Gothic" w:eastAsia="Century Gothic" w:hAnsi="Century Gothic" w:cs="Century Gothic"/>
          <w:sz w:val="20"/>
          <w:szCs w:val="20"/>
        </w:rPr>
        <w:t xml:space="preserve">, ha señalado: </w:t>
      </w:r>
      <w:r>
        <w:rPr>
          <w:rFonts w:ascii="Century Gothic" w:eastAsia="Century Gothic" w:hAnsi="Century Gothic" w:cs="Century Gothic"/>
          <w:i/>
          <w:sz w:val="20"/>
          <w:szCs w:val="20"/>
        </w:rPr>
        <w:t xml:space="preserve">"La colaboración con Phenix ha sido fundamental para alcanzar nuestros objetivos de sostenibilidad y responsabilidad social. Gracias a esta alianza, hemos podido implementar un sistema efectivo de donaciones que no solo reduce el desperdicio de alimentos en nuestros establecimientos, sino que también contribuye al bienestar de las comunidades vulnerables. Este proyecto refleja nuestro compromiso con la economía circular y nuestra misión de generar un impacto positivo en la sociedad. Juntos, estamos demostrando que es posible combinar el éxito empresarial con un enfoque ético y sostenible". </w:t>
      </w:r>
    </w:p>
    <w:p w14:paraId="21BBCB94" w14:textId="77777777" w:rsidR="00FE4733" w:rsidRDefault="00FE4733" w:rsidP="00FE4733">
      <w:pPr>
        <w:pBdr>
          <w:top w:val="nil"/>
          <w:left w:val="nil"/>
          <w:bottom w:val="nil"/>
          <w:right w:val="nil"/>
          <w:between w:val="nil"/>
        </w:pBdr>
        <w:spacing w:after="240" w:line="360" w:lineRule="auto"/>
        <w:jc w:val="both"/>
        <w:rPr>
          <w:rFonts w:ascii="Century Gothic" w:eastAsia="Century Gothic" w:hAnsi="Century Gothic" w:cs="Century Gothic"/>
          <w:b/>
          <w:sz w:val="20"/>
          <w:szCs w:val="20"/>
        </w:rPr>
      </w:pPr>
      <w:r>
        <w:rPr>
          <w:rFonts w:ascii="Century Gothic" w:eastAsia="Century Gothic" w:hAnsi="Century Gothic" w:cs="Century Gothic"/>
          <w:i/>
          <w:sz w:val="20"/>
          <w:szCs w:val="20"/>
        </w:rPr>
        <w:t>“Ya son varios los años que llevamos recibiendo alimentos donados por el acuerdo que tenemos con Phenix. El nombre de Phenix ya es de por sí una garantía de calidad y seguridad alimentaria, lo que, a su vez, nos garantiza que la donación de alimentos sea totalmente segura hasta la entrega final a nuestros beneficiarios” señala</w:t>
      </w:r>
      <w:r>
        <w:rPr>
          <w:rFonts w:ascii="Century Gothic" w:eastAsia="Century Gothic" w:hAnsi="Century Gothic" w:cs="Century Gothic"/>
          <w:sz w:val="20"/>
          <w:szCs w:val="20"/>
        </w:rPr>
        <w:t xml:space="preserve"> </w:t>
      </w:r>
      <w:r>
        <w:rPr>
          <w:rFonts w:ascii="Century Gothic" w:eastAsia="Century Gothic" w:hAnsi="Century Gothic" w:cs="Century Gothic"/>
          <w:b/>
          <w:sz w:val="20"/>
          <w:szCs w:val="20"/>
        </w:rPr>
        <w:t xml:space="preserve">Raimundo de </w:t>
      </w:r>
      <w:proofErr w:type="spellStart"/>
      <w:r>
        <w:rPr>
          <w:rFonts w:ascii="Century Gothic" w:eastAsia="Century Gothic" w:hAnsi="Century Gothic" w:cs="Century Gothic"/>
          <w:b/>
          <w:sz w:val="20"/>
          <w:szCs w:val="20"/>
        </w:rPr>
        <w:t>Montis</w:t>
      </w:r>
      <w:proofErr w:type="spellEnd"/>
      <w:r>
        <w:rPr>
          <w:rFonts w:ascii="Century Gothic" w:eastAsia="Century Gothic" w:hAnsi="Century Gothic" w:cs="Century Gothic"/>
          <w:b/>
          <w:sz w:val="20"/>
          <w:szCs w:val="20"/>
        </w:rPr>
        <w:t xml:space="preserve"> Coll, presidente del Banco de Alimentos de Mallorca</w:t>
      </w:r>
      <w:r>
        <w:rPr>
          <w:rFonts w:ascii="Century Gothic" w:eastAsia="Century Gothic" w:hAnsi="Century Gothic" w:cs="Century Gothic"/>
          <w:sz w:val="20"/>
          <w:szCs w:val="20"/>
        </w:rPr>
        <w:t>, que además añade que “</w:t>
      </w:r>
      <w:r>
        <w:rPr>
          <w:rFonts w:ascii="Century Gothic" w:eastAsia="Century Gothic" w:hAnsi="Century Gothic" w:cs="Century Gothic"/>
          <w:i/>
          <w:sz w:val="20"/>
          <w:szCs w:val="20"/>
        </w:rPr>
        <w:t>es impagable saber que siempre se puede contar con ellos y con su encomiable labor para poder continuar con nuestra ayuda al más necesitados</w:t>
      </w:r>
      <w:r>
        <w:rPr>
          <w:rFonts w:ascii="Century Gothic" w:eastAsia="Century Gothic" w:hAnsi="Century Gothic" w:cs="Century Gothic"/>
          <w:sz w:val="20"/>
          <w:szCs w:val="20"/>
        </w:rPr>
        <w:t>”</w:t>
      </w:r>
      <w:r>
        <w:rPr>
          <w:rFonts w:ascii="Century Gothic" w:eastAsia="Century Gothic" w:hAnsi="Century Gothic" w:cs="Century Gothic"/>
          <w:i/>
          <w:sz w:val="20"/>
          <w:szCs w:val="20"/>
        </w:rPr>
        <w:t>.</w:t>
      </w:r>
    </w:p>
    <w:p w14:paraId="3C7DADE1" w14:textId="77777777" w:rsidR="00FE4733" w:rsidRDefault="00FE4733" w:rsidP="00FE4733">
      <w:pPr>
        <w:numPr>
          <w:ilvl w:val="0"/>
          <w:numId w:val="2"/>
        </w:numPr>
        <w:pBdr>
          <w:top w:val="nil"/>
          <w:left w:val="nil"/>
          <w:bottom w:val="nil"/>
          <w:right w:val="nil"/>
          <w:between w:val="nil"/>
        </w:pBdr>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FIN   -</w:t>
      </w:r>
    </w:p>
    <w:p w14:paraId="3C8464A9" w14:textId="77777777" w:rsidR="00FE4733" w:rsidRDefault="00FE4733" w:rsidP="00FE4733">
      <w:pPr>
        <w:pBdr>
          <w:top w:val="nil"/>
          <w:left w:val="nil"/>
          <w:bottom w:val="nil"/>
          <w:right w:val="nil"/>
          <w:between w:val="nil"/>
        </w:pBdr>
        <w:ind w:left="720"/>
        <w:rPr>
          <w:rFonts w:ascii="Century Gothic" w:eastAsia="Century Gothic" w:hAnsi="Century Gothic" w:cs="Century Gothic"/>
          <w:color w:val="000000"/>
          <w:sz w:val="20"/>
          <w:szCs w:val="20"/>
        </w:rPr>
      </w:pPr>
    </w:p>
    <w:p w14:paraId="3E166BA8" w14:textId="77777777" w:rsidR="00FE4733" w:rsidRDefault="00FE4733" w:rsidP="00FE4733">
      <w:pPr>
        <w:rPr>
          <w:sz w:val="18"/>
          <w:szCs w:val="18"/>
        </w:rPr>
      </w:pPr>
      <w:r>
        <w:rPr>
          <w:sz w:val="18"/>
          <w:szCs w:val="18"/>
        </w:rPr>
        <w:t>***</w:t>
      </w:r>
    </w:p>
    <w:p w14:paraId="7D2CD1B6" w14:textId="77777777" w:rsidR="00FE4733" w:rsidRDefault="00FE4733" w:rsidP="00FE4733">
      <w:pPr>
        <w:rPr>
          <w:b/>
          <w:sz w:val="18"/>
          <w:szCs w:val="18"/>
        </w:rPr>
      </w:pPr>
      <w:r>
        <w:rPr>
          <w:b/>
          <w:sz w:val="18"/>
          <w:szCs w:val="18"/>
        </w:rPr>
        <w:lastRenderedPageBreak/>
        <w:t>Sobre Phenix</w:t>
      </w:r>
    </w:p>
    <w:p w14:paraId="3B763079" w14:textId="77777777" w:rsidR="00FE4733" w:rsidRDefault="00FE4733" w:rsidP="00FE4733">
      <w:pPr>
        <w:jc w:val="both"/>
        <w:rPr>
          <w:sz w:val="18"/>
          <w:szCs w:val="18"/>
        </w:rPr>
      </w:pPr>
    </w:p>
    <w:p w14:paraId="402E6773" w14:textId="77777777" w:rsidR="00FE4733" w:rsidRDefault="00FE4733" w:rsidP="00FE4733">
      <w:pPr>
        <w:jc w:val="both"/>
        <w:rPr>
          <w:sz w:val="18"/>
          <w:szCs w:val="18"/>
        </w:rPr>
      </w:pPr>
      <w:r>
        <w:rPr>
          <w:sz w:val="18"/>
          <w:szCs w:val="18"/>
        </w:rPr>
        <w:t xml:space="preserve">Phenix es una empresa especializada en maximizar el valor del excedente en el sector retail alimentario en España. A través de una gestión eficiente, ayuda a las empresas a convertir el excedente en una fuente de rentabilidad, mientras reduce significativamente el desperdicio alimentario y fomenta un impacto positivo en la sociedad y el medio ambiente. Nació en el 2014, en Francia, con una misión muy clara: reducir el desperdicio alimentario, un problema con un grave impacto económico, social y medioambiental a nivel mundial. Actualmente, es líder en el mercado francés y está en plena consolidación en España y Portugal. La empresa cuenta con más de 200 empleados en total. Phenix está certificada como B </w:t>
      </w:r>
      <w:proofErr w:type="spellStart"/>
      <w:r>
        <w:rPr>
          <w:sz w:val="18"/>
          <w:szCs w:val="18"/>
        </w:rPr>
        <w:t>Corporation</w:t>
      </w:r>
      <w:proofErr w:type="spellEnd"/>
      <w:r>
        <w:rPr>
          <w:sz w:val="18"/>
          <w:szCs w:val="18"/>
        </w:rPr>
        <w:t>, mostrando su compromiso con la sociedad y el medioambiente.</w:t>
      </w:r>
    </w:p>
    <w:p w14:paraId="4F438A48" w14:textId="77777777" w:rsidR="00FE4733" w:rsidRDefault="00FE4733" w:rsidP="00FE4733">
      <w:pPr>
        <w:jc w:val="both"/>
        <w:rPr>
          <w:sz w:val="18"/>
          <w:szCs w:val="18"/>
        </w:rPr>
      </w:pPr>
    </w:p>
    <w:p w14:paraId="6D1CCE63" w14:textId="77777777" w:rsidR="00FE4733" w:rsidRDefault="00FE4733" w:rsidP="00FE4733">
      <w:pPr>
        <w:jc w:val="both"/>
        <w:rPr>
          <w:sz w:val="18"/>
          <w:szCs w:val="18"/>
        </w:rPr>
      </w:pPr>
      <w:r>
        <w:rPr>
          <w:sz w:val="18"/>
          <w:szCs w:val="18"/>
        </w:rPr>
        <w:t xml:space="preserve">Para más información: </w:t>
      </w:r>
      <w:hyperlink r:id="rId8">
        <w:r>
          <w:rPr>
            <w:color w:val="0563C1"/>
            <w:sz w:val="18"/>
            <w:szCs w:val="18"/>
            <w:u w:val="single"/>
          </w:rPr>
          <w:t>https://www.wearephenix.com/es/</w:t>
        </w:r>
      </w:hyperlink>
      <w:r>
        <w:rPr>
          <w:sz w:val="18"/>
          <w:szCs w:val="18"/>
        </w:rPr>
        <w:t xml:space="preserve"> </w:t>
      </w:r>
    </w:p>
    <w:p w14:paraId="05268AD4" w14:textId="77777777" w:rsidR="00FE4733" w:rsidRDefault="00FE4733" w:rsidP="00FE4733">
      <w:pPr>
        <w:jc w:val="both"/>
        <w:rPr>
          <w:sz w:val="18"/>
          <w:szCs w:val="18"/>
        </w:rPr>
      </w:pPr>
    </w:p>
    <w:p w14:paraId="32A898FE" w14:textId="77777777" w:rsidR="00FE4733" w:rsidRDefault="00FE4733" w:rsidP="00FE4733">
      <w:pPr>
        <w:jc w:val="both"/>
        <w:rPr>
          <w:b/>
          <w:sz w:val="18"/>
          <w:szCs w:val="18"/>
        </w:rPr>
      </w:pPr>
      <w:r>
        <w:rPr>
          <w:b/>
          <w:sz w:val="18"/>
          <w:szCs w:val="18"/>
        </w:rPr>
        <w:t>Sobre Areas</w:t>
      </w:r>
    </w:p>
    <w:p w14:paraId="09022809" w14:textId="77777777" w:rsidR="00FE4733" w:rsidRPr="00A13759" w:rsidRDefault="00FE4733" w:rsidP="00FE4733">
      <w:pPr>
        <w:jc w:val="both"/>
        <w:rPr>
          <w:sz w:val="18"/>
          <w:szCs w:val="18"/>
        </w:rPr>
      </w:pPr>
      <w:r w:rsidRPr="00A13759">
        <w:rPr>
          <w:sz w:val="18"/>
          <w:szCs w:val="18"/>
        </w:rPr>
        <w:t>Líder internacional en restauración y retail en el mundo de los viajes. Con presencia en 1</w:t>
      </w:r>
      <w:r>
        <w:rPr>
          <w:sz w:val="18"/>
          <w:szCs w:val="18"/>
        </w:rPr>
        <w:t>1</w:t>
      </w:r>
      <w:r w:rsidRPr="00A13759">
        <w:rPr>
          <w:sz w:val="18"/>
          <w:szCs w:val="18"/>
        </w:rPr>
        <w:t xml:space="preserve"> países, la compañía gestiona más de 2.000 restaurantes y tiendas en Europa y América.</w:t>
      </w:r>
    </w:p>
    <w:p w14:paraId="32C699FE" w14:textId="77777777" w:rsidR="00FE4733" w:rsidRPr="00A13759" w:rsidRDefault="00FE4733" w:rsidP="00FE4733">
      <w:pPr>
        <w:jc w:val="both"/>
        <w:rPr>
          <w:sz w:val="18"/>
          <w:szCs w:val="18"/>
        </w:rPr>
      </w:pPr>
      <w:r w:rsidRPr="00A13759">
        <w:rPr>
          <w:sz w:val="18"/>
          <w:szCs w:val="18"/>
        </w:rPr>
        <w:t>Con un equipo de 20.000 personas y presencia en los principales núcleos de comunicación de todo el mundo (aeropuertos, estaciones de tren, áreas de servicio), así como centros de ocio y recintos feriales, Areas da servicio a más de 350 millones de clientes cada año.</w:t>
      </w:r>
    </w:p>
    <w:p w14:paraId="080E6C02" w14:textId="77777777" w:rsidR="00FE4733" w:rsidRPr="00A13759" w:rsidRDefault="00FE4733" w:rsidP="00FE4733">
      <w:pPr>
        <w:jc w:val="both"/>
        <w:rPr>
          <w:sz w:val="18"/>
          <w:szCs w:val="18"/>
        </w:rPr>
      </w:pPr>
      <w:r w:rsidRPr="00A13759">
        <w:rPr>
          <w:sz w:val="18"/>
          <w:szCs w:val="18"/>
        </w:rPr>
        <w:t>Fundada en 1968 en Barcelona, Areas nació con el compromiso de ofrecer servicios de alta calidad a los viajeros. Desde entonces, ha evolucionado hasta convertirse en un operador global de referencia en el sector, con un profundo conocimiento de las necesidades de los viajeros y de la más amplia gama de conceptos de restauración del mercado.</w:t>
      </w:r>
    </w:p>
    <w:p w14:paraId="2C524E30" w14:textId="77777777" w:rsidR="00FE4733" w:rsidRDefault="00FE4733" w:rsidP="00FE4733">
      <w:pPr>
        <w:jc w:val="both"/>
        <w:rPr>
          <w:sz w:val="18"/>
          <w:szCs w:val="18"/>
        </w:rPr>
      </w:pPr>
    </w:p>
    <w:p w14:paraId="6C8E4986" w14:textId="77777777" w:rsidR="00FE4733" w:rsidRDefault="00FE4733" w:rsidP="00FE4733">
      <w:pPr>
        <w:jc w:val="both"/>
        <w:rPr>
          <w:sz w:val="18"/>
          <w:szCs w:val="18"/>
        </w:rPr>
      </w:pPr>
      <w:r>
        <w:rPr>
          <w:sz w:val="18"/>
          <w:szCs w:val="18"/>
        </w:rPr>
        <w:t xml:space="preserve">Para más información: </w:t>
      </w:r>
    </w:p>
    <w:p w14:paraId="29A77B76" w14:textId="77777777" w:rsidR="00FE4733" w:rsidRDefault="00FE4733" w:rsidP="00FE4733">
      <w:pPr>
        <w:jc w:val="both"/>
        <w:rPr>
          <w:color w:val="0000FF"/>
          <w:sz w:val="16"/>
          <w:szCs w:val="16"/>
        </w:rPr>
      </w:pPr>
    </w:p>
    <w:p w14:paraId="1938395B" w14:textId="77777777" w:rsidR="00FE4733" w:rsidRDefault="00FE4733" w:rsidP="00FE4733">
      <w:pPr>
        <w:jc w:val="right"/>
        <w:rPr>
          <w:b/>
          <w:sz w:val="20"/>
          <w:szCs w:val="20"/>
        </w:rPr>
      </w:pPr>
      <w:r>
        <w:rPr>
          <w:b/>
          <w:sz w:val="20"/>
          <w:szCs w:val="20"/>
        </w:rPr>
        <w:t>Contacto para la prensa:</w:t>
      </w:r>
    </w:p>
    <w:p w14:paraId="1CFD2995" w14:textId="77777777" w:rsidR="00FE4733" w:rsidRDefault="00FE4733" w:rsidP="00FE4733">
      <w:pPr>
        <w:jc w:val="right"/>
        <w:rPr>
          <w:b/>
          <w:sz w:val="20"/>
          <w:szCs w:val="20"/>
        </w:rPr>
      </w:pPr>
    </w:p>
    <w:p w14:paraId="3304D23E" w14:textId="77777777" w:rsidR="00416E1F" w:rsidRDefault="00416E1F" w:rsidP="00416E1F">
      <w:pPr>
        <w:jc w:val="right"/>
        <w:rPr>
          <w:b/>
          <w:sz w:val="20"/>
          <w:szCs w:val="20"/>
        </w:rPr>
      </w:pPr>
      <w:r>
        <w:rPr>
          <w:b/>
          <w:sz w:val="20"/>
          <w:szCs w:val="20"/>
        </w:rPr>
        <w:t xml:space="preserve">Marina Gascón Martínez de Quel </w:t>
      </w:r>
    </w:p>
    <w:p w14:paraId="5B027568" w14:textId="77777777" w:rsidR="00416E1F" w:rsidRDefault="00416E1F" w:rsidP="00416E1F">
      <w:pPr>
        <w:jc w:val="right"/>
        <w:rPr>
          <w:sz w:val="20"/>
          <w:szCs w:val="20"/>
        </w:rPr>
      </w:pPr>
      <w:hyperlink r:id="rId9">
        <w:r>
          <w:rPr>
            <w:color w:val="467886"/>
            <w:sz w:val="20"/>
            <w:szCs w:val="20"/>
            <w:u w:val="single"/>
          </w:rPr>
          <w:t>marina.gascon@newlink-group.com</w:t>
        </w:r>
      </w:hyperlink>
      <w:r>
        <w:rPr>
          <w:sz w:val="20"/>
          <w:szCs w:val="20"/>
        </w:rPr>
        <w:t xml:space="preserve"> </w:t>
      </w:r>
    </w:p>
    <w:p w14:paraId="085EEB4E" w14:textId="77777777" w:rsidR="00416E1F" w:rsidRDefault="00416E1F" w:rsidP="00416E1F">
      <w:pPr>
        <w:jc w:val="right"/>
        <w:rPr>
          <w:sz w:val="20"/>
          <w:szCs w:val="20"/>
        </w:rPr>
      </w:pPr>
      <w:r>
        <w:rPr>
          <w:sz w:val="20"/>
          <w:szCs w:val="20"/>
        </w:rPr>
        <w:t xml:space="preserve">+ 34 651 963 459 </w:t>
      </w:r>
    </w:p>
    <w:p w14:paraId="3C75BE9E" w14:textId="77777777" w:rsidR="00416E1F" w:rsidRDefault="00416E1F" w:rsidP="00416E1F">
      <w:pPr>
        <w:jc w:val="right"/>
        <w:rPr>
          <w:sz w:val="20"/>
          <w:szCs w:val="20"/>
        </w:rPr>
      </w:pPr>
    </w:p>
    <w:p w14:paraId="0C1E7E7B" w14:textId="77777777" w:rsidR="00416E1F" w:rsidRDefault="00416E1F" w:rsidP="00416E1F">
      <w:pPr>
        <w:jc w:val="right"/>
        <w:rPr>
          <w:b/>
          <w:sz w:val="20"/>
          <w:szCs w:val="20"/>
        </w:rPr>
      </w:pPr>
      <w:r>
        <w:rPr>
          <w:b/>
          <w:color w:val="434343"/>
          <w:sz w:val="20"/>
          <w:szCs w:val="20"/>
        </w:rPr>
        <w:t>Marí</w:t>
      </w:r>
      <w:r>
        <w:rPr>
          <w:b/>
          <w:sz w:val="20"/>
          <w:szCs w:val="20"/>
        </w:rPr>
        <w:t>a Sánchez-Girón</w:t>
      </w:r>
    </w:p>
    <w:p w14:paraId="08E6E850" w14:textId="77777777" w:rsidR="00416E1F" w:rsidRDefault="00416E1F" w:rsidP="00416E1F">
      <w:pPr>
        <w:jc w:val="right"/>
        <w:rPr>
          <w:sz w:val="20"/>
          <w:szCs w:val="20"/>
          <w:u w:val="single"/>
        </w:rPr>
      </w:pPr>
      <w:r>
        <w:rPr>
          <w:sz w:val="20"/>
          <w:szCs w:val="20"/>
          <w:u w:val="single"/>
        </w:rPr>
        <w:t>maria.sanchez-giron</w:t>
      </w:r>
      <w:hyperlink r:id="rId10">
        <w:r>
          <w:rPr>
            <w:color w:val="0563C1"/>
            <w:sz w:val="20"/>
            <w:szCs w:val="20"/>
            <w:u w:val="single"/>
          </w:rPr>
          <w:t>@newlink-group.com</w:t>
        </w:r>
      </w:hyperlink>
    </w:p>
    <w:p w14:paraId="1D6AFE4F" w14:textId="77777777" w:rsidR="00416E1F" w:rsidRDefault="00416E1F" w:rsidP="00416E1F">
      <w:pPr>
        <w:jc w:val="right"/>
        <w:rPr>
          <w:sz w:val="20"/>
          <w:szCs w:val="20"/>
          <w:u w:val="single"/>
        </w:rPr>
      </w:pPr>
      <w:r>
        <w:rPr>
          <w:sz w:val="20"/>
          <w:szCs w:val="20"/>
        </w:rPr>
        <w:t>+34 653 125 545</w:t>
      </w:r>
    </w:p>
    <w:p w14:paraId="1D9B9504" w14:textId="77777777" w:rsidR="00FE4733" w:rsidRDefault="00FE4733" w:rsidP="00FE4733"/>
    <w:p w14:paraId="4976B12C" w14:textId="77777777" w:rsidR="00FE4733" w:rsidRDefault="00FE4733"/>
    <w:sectPr w:rsidR="00FE4733">
      <w:head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162658" w14:textId="77777777" w:rsidR="00BC5029" w:rsidRDefault="00BC5029" w:rsidP="00BC5029">
      <w:r>
        <w:separator/>
      </w:r>
    </w:p>
  </w:endnote>
  <w:endnote w:type="continuationSeparator" w:id="0">
    <w:p w14:paraId="420EB2C1" w14:textId="77777777" w:rsidR="00BC5029" w:rsidRDefault="00BC5029" w:rsidP="00BC50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6432A1" w14:textId="77777777" w:rsidR="00BC5029" w:rsidRDefault="00BC5029" w:rsidP="00BC5029">
      <w:r>
        <w:separator/>
      </w:r>
    </w:p>
  </w:footnote>
  <w:footnote w:type="continuationSeparator" w:id="0">
    <w:p w14:paraId="199664A7" w14:textId="77777777" w:rsidR="00BC5029" w:rsidRDefault="00BC5029" w:rsidP="00BC50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9E7B2F" w14:textId="7FDD5A61" w:rsidR="00BC5029" w:rsidRDefault="006142C0" w:rsidP="006142C0">
    <w:pPr>
      <w:pStyle w:val="Encabezado"/>
      <w:tabs>
        <w:tab w:val="clear" w:pos="4252"/>
        <w:tab w:val="clear" w:pos="8504"/>
        <w:tab w:val="left" w:pos="6825"/>
      </w:tabs>
    </w:pPr>
    <w:r w:rsidRPr="003C5E22">
      <w:rPr>
        <w:noProof/>
        <w:sz w:val="18"/>
        <w:szCs w:val="18"/>
      </w:rPr>
      <w:drawing>
        <wp:anchor distT="0" distB="0" distL="114300" distR="114300" simplePos="0" relativeHeight="251659264" behindDoc="0" locked="0" layoutInCell="1" allowOverlap="1" wp14:anchorId="283676E7" wp14:editId="0D94FA33">
          <wp:simplePos x="0" y="0"/>
          <wp:positionH relativeFrom="margin">
            <wp:posOffset>4253865</wp:posOffset>
          </wp:positionH>
          <wp:positionV relativeFrom="paragraph">
            <wp:posOffset>106045</wp:posOffset>
          </wp:positionV>
          <wp:extent cx="1278255" cy="339725"/>
          <wp:effectExtent l="0" t="0" r="0" b="3175"/>
          <wp:wrapNone/>
          <wp:docPr id="293154263" name="Imagen 1" descr="Form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154263" name="Imagen 1" descr="Forma&#10;&#10;Descripción generada automáticamente con confianza ba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255" cy="339725"/>
                  </a:xfrm>
                  <a:prstGeom prst="rect">
                    <a:avLst/>
                  </a:prstGeom>
                  <a:noFill/>
                  <a:ln>
                    <a:noFill/>
                  </a:ln>
                </pic:spPr>
              </pic:pic>
            </a:graphicData>
          </a:graphic>
          <wp14:sizeRelH relativeFrom="page">
            <wp14:pctWidth>0</wp14:pctWidth>
          </wp14:sizeRelH>
          <wp14:sizeRelV relativeFrom="page">
            <wp14:pctHeight>0</wp14:pctHeight>
          </wp14:sizeRelV>
        </wp:anchor>
      </w:drawing>
    </w:r>
    <w:r w:rsidR="00BC5029">
      <w:rPr>
        <w:noProof/>
        <w:color w:val="000000"/>
      </w:rPr>
      <w:drawing>
        <wp:inline distT="0" distB="0" distL="0" distR="0" wp14:anchorId="64655DB4" wp14:editId="69FA675B">
          <wp:extent cx="1581524" cy="615162"/>
          <wp:effectExtent l="0" t="0" r="0" b="0"/>
          <wp:docPr id="1706934825" name="image1.jpg" descr="Logotipo&#10;&#10;Descripción generada automáticamente"/>
          <wp:cNvGraphicFramePr/>
          <a:graphic xmlns:a="http://schemas.openxmlformats.org/drawingml/2006/main">
            <a:graphicData uri="http://schemas.openxmlformats.org/drawingml/2006/picture">
              <pic:pic xmlns:pic="http://schemas.openxmlformats.org/drawingml/2006/picture">
                <pic:nvPicPr>
                  <pic:cNvPr id="1706934825" name="image1.jpg" descr="Logotipo&#10;&#10;Descripción generada automáticamente"/>
                  <pic:cNvPicPr preferRelativeResize="0"/>
                </pic:nvPicPr>
                <pic:blipFill>
                  <a:blip r:embed="rId2"/>
                  <a:srcRect/>
                  <a:stretch>
                    <a:fillRect/>
                  </a:stretch>
                </pic:blipFill>
                <pic:spPr>
                  <a:xfrm>
                    <a:off x="0" y="0"/>
                    <a:ext cx="1581524" cy="615162"/>
                  </a:xfrm>
                  <a:prstGeom prst="rect">
                    <a:avLst/>
                  </a:prstGeom>
                  <a:ln/>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515228"/>
    <w:multiLevelType w:val="multilevel"/>
    <w:tmpl w:val="4066E384"/>
    <w:lvl w:ilvl="0">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A182161"/>
    <w:multiLevelType w:val="multilevel"/>
    <w:tmpl w:val="61205E7C"/>
    <w:lvl w:ilvl="0">
      <w:numFmt w:val="bullet"/>
      <w:lvlText w:val="-"/>
      <w:lvlJc w:val="left"/>
      <w:pPr>
        <w:ind w:left="720" w:hanging="360"/>
      </w:pPr>
      <w:rPr>
        <w:rFonts w:ascii="Century Gothic" w:eastAsia="Century Gothic" w:hAnsi="Century Gothic" w:cs="Century Gothic"/>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846363126">
    <w:abstractNumId w:val="0"/>
  </w:num>
  <w:num w:numId="2" w16cid:durableId="188957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9D2"/>
    <w:rsid w:val="0008406B"/>
    <w:rsid w:val="001443B8"/>
    <w:rsid w:val="001719D2"/>
    <w:rsid w:val="001F172C"/>
    <w:rsid w:val="00416E1F"/>
    <w:rsid w:val="00526099"/>
    <w:rsid w:val="006142C0"/>
    <w:rsid w:val="00BA40D4"/>
    <w:rsid w:val="00BC5029"/>
    <w:rsid w:val="00E97FFE"/>
    <w:rsid w:val="00F046E8"/>
    <w:rsid w:val="00FE473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E7F88D"/>
  <w15:chartTrackingRefBased/>
  <w15:docId w15:val="{73AD1106-86F0-47D9-ACDB-85D706176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6099"/>
    <w:pPr>
      <w:spacing w:after="0" w:line="240" w:lineRule="auto"/>
    </w:pPr>
    <w:rPr>
      <w:rFonts w:ascii="Calibri" w:eastAsia="Calibri" w:hAnsi="Calibri" w:cs="Calibri"/>
      <w:kern w:val="0"/>
      <w:sz w:val="22"/>
      <w:szCs w:val="22"/>
      <w:lang w:eastAsia="es-ES"/>
      <w14:ligatures w14:val="none"/>
    </w:rPr>
  </w:style>
  <w:style w:type="paragraph" w:styleId="Ttulo1">
    <w:name w:val="heading 1"/>
    <w:basedOn w:val="Normal"/>
    <w:next w:val="Normal"/>
    <w:link w:val="Ttulo1Car"/>
    <w:uiPriority w:val="9"/>
    <w:qFormat/>
    <w:rsid w:val="001719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719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719D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719D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719D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719D2"/>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719D2"/>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719D2"/>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719D2"/>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719D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719D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719D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719D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719D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719D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719D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719D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719D2"/>
    <w:rPr>
      <w:rFonts w:eastAsiaTheme="majorEastAsia" w:cstheme="majorBidi"/>
      <w:color w:val="272727" w:themeColor="text1" w:themeTint="D8"/>
    </w:rPr>
  </w:style>
  <w:style w:type="paragraph" w:styleId="Ttulo">
    <w:name w:val="Title"/>
    <w:basedOn w:val="Normal"/>
    <w:next w:val="Normal"/>
    <w:link w:val="TtuloCar"/>
    <w:uiPriority w:val="10"/>
    <w:qFormat/>
    <w:rsid w:val="001719D2"/>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719D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719D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719D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719D2"/>
    <w:pPr>
      <w:spacing w:before="160"/>
      <w:jc w:val="center"/>
    </w:pPr>
    <w:rPr>
      <w:i/>
      <w:iCs/>
      <w:color w:val="404040" w:themeColor="text1" w:themeTint="BF"/>
    </w:rPr>
  </w:style>
  <w:style w:type="character" w:customStyle="1" w:styleId="CitaCar">
    <w:name w:val="Cita Car"/>
    <w:basedOn w:val="Fuentedeprrafopredeter"/>
    <w:link w:val="Cita"/>
    <w:uiPriority w:val="29"/>
    <w:rsid w:val="001719D2"/>
    <w:rPr>
      <w:i/>
      <w:iCs/>
      <w:color w:val="404040" w:themeColor="text1" w:themeTint="BF"/>
    </w:rPr>
  </w:style>
  <w:style w:type="paragraph" w:styleId="Prrafodelista">
    <w:name w:val="List Paragraph"/>
    <w:basedOn w:val="Normal"/>
    <w:uiPriority w:val="34"/>
    <w:qFormat/>
    <w:rsid w:val="001719D2"/>
    <w:pPr>
      <w:ind w:left="720"/>
      <w:contextualSpacing/>
    </w:pPr>
  </w:style>
  <w:style w:type="character" w:styleId="nfasisintenso">
    <w:name w:val="Intense Emphasis"/>
    <w:basedOn w:val="Fuentedeprrafopredeter"/>
    <w:uiPriority w:val="21"/>
    <w:qFormat/>
    <w:rsid w:val="001719D2"/>
    <w:rPr>
      <w:i/>
      <w:iCs/>
      <w:color w:val="0F4761" w:themeColor="accent1" w:themeShade="BF"/>
    </w:rPr>
  </w:style>
  <w:style w:type="paragraph" w:styleId="Citadestacada">
    <w:name w:val="Intense Quote"/>
    <w:basedOn w:val="Normal"/>
    <w:next w:val="Normal"/>
    <w:link w:val="CitadestacadaCar"/>
    <w:uiPriority w:val="30"/>
    <w:qFormat/>
    <w:rsid w:val="001719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719D2"/>
    <w:rPr>
      <w:i/>
      <w:iCs/>
      <w:color w:val="0F4761" w:themeColor="accent1" w:themeShade="BF"/>
    </w:rPr>
  </w:style>
  <w:style w:type="character" w:styleId="Referenciaintensa">
    <w:name w:val="Intense Reference"/>
    <w:basedOn w:val="Fuentedeprrafopredeter"/>
    <w:uiPriority w:val="32"/>
    <w:qFormat/>
    <w:rsid w:val="001719D2"/>
    <w:rPr>
      <w:b/>
      <w:bCs/>
      <w:smallCaps/>
      <w:color w:val="0F4761" w:themeColor="accent1" w:themeShade="BF"/>
      <w:spacing w:val="5"/>
    </w:rPr>
  </w:style>
  <w:style w:type="paragraph" w:styleId="Encabezado">
    <w:name w:val="header"/>
    <w:basedOn w:val="Normal"/>
    <w:link w:val="EncabezadoCar"/>
    <w:uiPriority w:val="99"/>
    <w:unhideWhenUsed/>
    <w:rsid w:val="00BC5029"/>
    <w:pPr>
      <w:tabs>
        <w:tab w:val="center" w:pos="4252"/>
        <w:tab w:val="right" w:pos="8504"/>
      </w:tabs>
    </w:pPr>
  </w:style>
  <w:style w:type="character" w:customStyle="1" w:styleId="EncabezadoCar">
    <w:name w:val="Encabezado Car"/>
    <w:basedOn w:val="Fuentedeprrafopredeter"/>
    <w:link w:val="Encabezado"/>
    <w:uiPriority w:val="99"/>
    <w:rsid w:val="00BC5029"/>
  </w:style>
  <w:style w:type="paragraph" w:styleId="Piedepgina">
    <w:name w:val="footer"/>
    <w:basedOn w:val="Normal"/>
    <w:link w:val="PiedepginaCar"/>
    <w:uiPriority w:val="99"/>
    <w:unhideWhenUsed/>
    <w:rsid w:val="00BC5029"/>
    <w:pPr>
      <w:tabs>
        <w:tab w:val="center" w:pos="4252"/>
        <w:tab w:val="right" w:pos="8504"/>
      </w:tabs>
    </w:pPr>
  </w:style>
  <w:style w:type="character" w:customStyle="1" w:styleId="PiedepginaCar">
    <w:name w:val="Pie de página Car"/>
    <w:basedOn w:val="Fuentedeprrafopredeter"/>
    <w:link w:val="Piedepgina"/>
    <w:uiPriority w:val="99"/>
    <w:rsid w:val="00BC50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arephenix.com/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wearephenix.com/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about:blank" TargetMode="External"/><Relationship Id="rId4" Type="http://schemas.openxmlformats.org/officeDocument/2006/relationships/webSettings" Target="webSettings.xml"/><Relationship Id="rId9" Type="http://schemas.openxmlformats.org/officeDocument/2006/relationships/hyperlink" Target="mailto:marina.gascon@newlink-group.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1018</Words>
  <Characters>5602</Characters>
  <Application>Microsoft Office Word</Application>
  <DocSecurity>0</DocSecurity>
  <Lines>46</Lines>
  <Paragraphs>13</Paragraphs>
  <ScaleCrop>false</ScaleCrop>
  <Company/>
  <LinksUpToDate>false</LinksUpToDate>
  <CharactersWithSpaces>6607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Sánchez-Girón</dc:creator>
  <cp:keywords/>
  <dc:description/>
  <cp:lastModifiedBy>María Sánchez-Girón</cp:lastModifiedBy>
  <cp:revision>9</cp:revision>
  <dcterms:created xsi:type="dcterms:W3CDTF">2024-12-12T11:33:00Z</dcterms:created>
  <dcterms:modified xsi:type="dcterms:W3CDTF">2024-12-12T11:35:00Z</dcterms:modified>
</cp:coreProperties>
</file>