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627A9" w14:textId="77777777" w:rsidR="00A97CE5" w:rsidRDefault="00A97CE5" w:rsidP="00A97CE5">
      <w:pPr>
        <w:pBdr>
          <w:top w:val="nil"/>
          <w:left w:val="nil"/>
          <w:bottom w:val="nil"/>
          <w:right w:val="nil"/>
          <w:between w:val="nil"/>
        </w:pBdr>
        <w:spacing w:line="276" w:lineRule="auto"/>
        <w:jc w:val="center"/>
        <w:rPr>
          <w:rFonts w:ascii="Century Gothic" w:eastAsia="Century Gothic" w:hAnsi="Century Gothic" w:cs="Century Gothic"/>
          <w:color w:val="000000"/>
        </w:rPr>
      </w:pPr>
      <w:r>
        <w:rPr>
          <w:rFonts w:ascii="Century Gothic" w:eastAsia="Century Gothic" w:hAnsi="Century Gothic" w:cs="Century Gothic"/>
          <w:b/>
          <w:color w:val="C55911"/>
          <w:sz w:val="34"/>
          <w:szCs w:val="34"/>
        </w:rPr>
        <w:t>Cuenta atrás para la Ley del Desperdicio Alimentario: ¿Está preparada la gran distribución en España?</w:t>
      </w:r>
    </w:p>
    <w:p w14:paraId="527C33AB" w14:textId="77777777" w:rsidR="00A97CE5" w:rsidRDefault="00A97CE5" w:rsidP="00A97CE5">
      <w:pPr>
        <w:pBdr>
          <w:top w:val="nil"/>
          <w:left w:val="nil"/>
          <w:bottom w:val="nil"/>
          <w:right w:val="nil"/>
          <w:between w:val="nil"/>
        </w:pBdr>
        <w:ind w:left="720"/>
        <w:rPr>
          <w:rFonts w:ascii="Century Gothic" w:eastAsia="Century Gothic" w:hAnsi="Century Gothic" w:cs="Century Gothic"/>
          <w:color w:val="000000"/>
        </w:rPr>
      </w:pPr>
    </w:p>
    <w:p w14:paraId="01D70695" w14:textId="77777777" w:rsidR="00A97CE5" w:rsidRDefault="00A97CE5" w:rsidP="00A97CE5">
      <w:pPr>
        <w:numPr>
          <w:ilvl w:val="0"/>
          <w:numId w:val="1"/>
        </w:numPr>
        <w:pBdr>
          <w:top w:val="nil"/>
          <w:left w:val="nil"/>
          <w:bottom w:val="nil"/>
          <w:right w:val="nil"/>
          <w:between w:val="nil"/>
        </w:pBdr>
        <w:spacing w:line="276" w:lineRule="auto"/>
        <w:jc w:val="both"/>
        <w:rPr>
          <w:rFonts w:ascii="Century Gothic" w:eastAsia="Century Gothic" w:hAnsi="Century Gothic" w:cs="Century Gothic"/>
          <w:i/>
          <w:color w:val="000000"/>
        </w:rPr>
      </w:pPr>
      <w:r>
        <w:rPr>
          <w:rFonts w:ascii="Century Gothic" w:eastAsia="Century Gothic" w:hAnsi="Century Gothic" w:cs="Century Gothic"/>
          <w:i/>
          <w:color w:val="000000"/>
        </w:rPr>
        <w:t>Phenix analiza la nueva normativa, cu</w:t>
      </w:r>
      <w:r>
        <w:rPr>
          <w:rFonts w:ascii="Century Gothic" w:eastAsia="Century Gothic" w:hAnsi="Century Gothic" w:cs="Century Gothic"/>
          <w:i/>
          <w:color w:val="000000"/>
          <w:highlight w:val="white"/>
        </w:rPr>
        <w:t>yo objetivo es reducir en un 50% el desperdicio de alimentos de la venta minorista y del consumidor para 2030</w:t>
      </w:r>
    </w:p>
    <w:p w14:paraId="31244557" w14:textId="77777777" w:rsidR="00A97CE5" w:rsidRDefault="00A97CE5" w:rsidP="00A97CE5">
      <w:pPr>
        <w:pBdr>
          <w:top w:val="nil"/>
          <w:left w:val="nil"/>
          <w:bottom w:val="nil"/>
          <w:right w:val="nil"/>
          <w:between w:val="nil"/>
        </w:pBdr>
        <w:spacing w:line="276" w:lineRule="auto"/>
        <w:ind w:left="720"/>
        <w:jc w:val="both"/>
        <w:rPr>
          <w:rFonts w:ascii="Century Gothic" w:eastAsia="Century Gothic" w:hAnsi="Century Gothic" w:cs="Century Gothic"/>
          <w:i/>
          <w:color w:val="000000"/>
        </w:rPr>
      </w:pPr>
    </w:p>
    <w:p w14:paraId="5784F1D3" w14:textId="77777777" w:rsidR="00A97CE5" w:rsidRDefault="00A97CE5" w:rsidP="00A97CE5">
      <w:pPr>
        <w:numPr>
          <w:ilvl w:val="0"/>
          <w:numId w:val="1"/>
        </w:numPr>
        <w:pBdr>
          <w:top w:val="nil"/>
          <w:left w:val="nil"/>
          <w:bottom w:val="nil"/>
          <w:right w:val="nil"/>
          <w:between w:val="nil"/>
        </w:pBdr>
        <w:spacing w:line="276" w:lineRule="auto"/>
        <w:jc w:val="both"/>
        <w:rPr>
          <w:rFonts w:ascii="Century Gothic" w:eastAsia="Century Gothic" w:hAnsi="Century Gothic" w:cs="Century Gothic"/>
          <w:i/>
          <w:color w:val="000000"/>
        </w:rPr>
      </w:pPr>
      <w:r>
        <w:rPr>
          <w:rFonts w:ascii="Century Gothic" w:eastAsia="Century Gothic" w:hAnsi="Century Gothic" w:cs="Century Gothic"/>
          <w:i/>
          <w:color w:val="000000"/>
        </w:rPr>
        <w:t>Los supermercados contarán con un año de plazo para adaptarse a las nuevas obligaciones</w:t>
      </w:r>
    </w:p>
    <w:p w14:paraId="223E069E" w14:textId="77777777" w:rsidR="00A97CE5" w:rsidRDefault="00A97CE5" w:rsidP="00A97CE5">
      <w:pPr>
        <w:spacing w:line="276" w:lineRule="auto"/>
        <w:jc w:val="both"/>
        <w:rPr>
          <w:rFonts w:ascii="Century Gothic" w:eastAsia="Century Gothic" w:hAnsi="Century Gothic" w:cs="Century Gothic"/>
        </w:rPr>
      </w:pPr>
    </w:p>
    <w:p w14:paraId="4090A281" w14:textId="77777777" w:rsidR="00A97CE5" w:rsidRDefault="00A97CE5" w:rsidP="00A97CE5">
      <w:pPr>
        <w:spacing w:after="200"/>
        <w:jc w:val="both"/>
        <w:rPr>
          <w:rFonts w:ascii="Open Sans" w:eastAsia="Open Sans" w:hAnsi="Open Sans" w:cs="Open Sans"/>
        </w:rPr>
      </w:pPr>
      <w:r>
        <w:rPr>
          <w:rFonts w:ascii="Open Sans" w:eastAsia="Open Sans" w:hAnsi="Open Sans" w:cs="Open Sans"/>
          <w:b/>
        </w:rPr>
        <w:t>Madrid, 30 de enero de 2025</w:t>
      </w:r>
      <w:r>
        <w:rPr>
          <w:rFonts w:ascii="Open Sans" w:eastAsia="Open Sans" w:hAnsi="Open Sans" w:cs="Open Sans"/>
        </w:rPr>
        <w:t xml:space="preserve">. La lucha contra el desperdicio alimentario está a punto de dar un paso crucial con la inminente aprobación de la </w:t>
      </w:r>
      <w:r>
        <w:rPr>
          <w:rFonts w:ascii="Open Sans Semibold" w:eastAsia="Open Sans Semibold" w:hAnsi="Open Sans Semibold" w:cs="Open Sans Semibold"/>
        </w:rPr>
        <w:t>Ley de Prevención de las Pérdidas y el Desperdicio Alimentario</w:t>
      </w:r>
      <w:r>
        <w:rPr>
          <w:rFonts w:ascii="Open Sans" w:eastAsia="Open Sans" w:hAnsi="Open Sans" w:cs="Open Sans"/>
        </w:rPr>
        <w:t xml:space="preserve">. </w:t>
      </w:r>
    </w:p>
    <w:p w14:paraId="07B7172B" w14:textId="77777777" w:rsidR="00A97CE5" w:rsidRDefault="00A97CE5" w:rsidP="00A97CE5">
      <w:pPr>
        <w:spacing w:after="200"/>
        <w:jc w:val="both"/>
        <w:rPr>
          <w:rFonts w:ascii="Open Sans" w:eastAsia="Open Sans" w:hAnsi="Open Sans" w:cs="Open Sans"/>
        </w:rPr>
      </w:pPr>
      <w:r>
        <w:rPr>
          <w:rFonts w:ascii="Open Sans" w:eastAsia="Open Sans" w:hAnsi="Open Sans" w:cs="Open Sans"/>
        </w:rPr>
        <w:t xml:space="preserve">El texto ya ha sido remitido al Senado por el Congreso de los Diputados y se encuentra en su fase final de tramitación, con fechas clave que marcan el camino hacia su entrada en vigor: </w:t>
      </w:r>
      <w:r>
        <w:rPr>
          <w:rFonts w:ascii="Open Sans Semibold" w:eastAsia="Open Sans Semibold" w:hAnsi="Open Sans Semibold" w:cs="Open Sans Semibold"/>
        </w:rPr>
        <w:t>el próximo 7 de febrero finaliza el plazo de enmiendas y propuestas de veto, y el 26 de marzo es el día límite de tramitación en el Senado</w:t>
      </w:r>
      <w:r>
        <w:rPr>
          <w:rFonts w:ascii="Open Sans" w:eastAsia="Open Sans" w:hAnsi="Open Sans" w:cs="Open Sans"/>
        </w:rPr>
        <w:t xml:space="preserve">. A partir de la publicación en el Boletín Oficial del Estado (BOE), los supermercados y demás actores de la gran distribución de alimentos contarán con </w:t>
      </w:r>
      <w:r>
        <w:rPr>
          <w:rFonts w:ascii="Open Sans Semibold" w:eastAsia="Open Sans Semibold" w:hAnsi="Open Sans Semibold" w:cs="Open Sans Semibold"/>
        </w:rPr>
        <w:t>un año de plazo para adaptarse a las nuevas obligaciones</w:t>
      </w:r>
      <w:r>
        <w:rPr>
          <w:rFonts w:ascii="Open Sans" w:eastAsia="Open Sans" w:hAnsi="Open Sans" w:cs="Open Sans"/>
        </w:rPr>
        <w:t xml:space="preserve">. </w:t>
      </w:r>
    </w:p>
    <w:p w14:paraId="16007A1B" w14:textId="77777777" w:rsidR="00A97CE5" w:rsidRDefault="00A97CE5" w:rsidP="00A97CE5">
      <w:pPr>
        <w:spacing w:after="200"/>
        <w:jc w:val="both"/>
        <w:rPr>
          <w:rFonts w:ascii="Open Sans" w:eastAsia="Open Sans" w:hAnsi="Open Sans" w:cs="Open Sans"/>
        </w:rPr>
      </w:pPr>
      <w:r>
        <w:rPr>
          <w:rFonts w:ascii="Open Sans" w:eastAsia="Open Sans" w:hAnsi="Open Sans" w:cs="Open Sans"/>
        </w:rPr>
        <w:t xml:space="preserve">En este contexto, </w:t>
      </w:r>
      <w:hyperlink r:id="rId7">
        <w:r>
          <w:rPr>
            <w:rFonts w:ascii="Open Sans" w:eastAsia="Open Sans" w:hAnsi="Open Sans" w:cs="Open Sans"/>
            <w:b/>
            <w:color w:val="1155CC"/>
            <w:u w:val="single"/>
          </w:rPr>
          <w:t>Phenix</w:t>
        </w:r>
      </w:hyperlink>
      <w:r>
        <w:rPr>
          <w:rFonts w:ascii="Open Sans" w:eastAsia="Open Sans" w:hAnsi="Open Sans" w:cs="Open Sans"/>
        </w:rPr>
        <w:t>, empresa líder en la gestión de excedentes alimentarios en España, analiza los alcances de la Ley para los supermercados y ofrece una serie de soluciones para ayudar a los establecimientos a adecuarse al nuevo marco normativo.</w:t>
      </w:r>
    </w:p>
    <w:p w14:paraId="2B591B1A" w14:textId="77777777" w:rsidR="00A97CE5" w:rsidRDefault="00A97CE5" w:rsidP="00A97CE5">
      <w:pPr>
        <w:spacing w:after="200"/>
        <w:jc w:val="both"/>
        <w:rPr>
          <w:rFonts w:ascii="Open Sans" w:eastAsia="Open Sans" w:hAnsi="Open Sans" w:cs="Open Sans"/>
          <w:b/>
        </w:rPr>
      </w:pPr>
      <w:r>
        <w:rPr>
          <w:rFonts w:ascii="Open Sans" w:eastAsia="Open Sans" w:hAnsi="Open Sans" w:cs="Open Sans"/>
          <w:b/>
        </w:rPr>
        <w:t>Una ley importante que tiene a los supermercados como actor clave</w:t>
      </w:r>
    </w:p>
    <w:p w14:paraId="14717E41" w14:textId="77777777" w:rsidR="00A97CE5" w:rsidRDefault="00A97CE5" w:rsidP="00A97CE5">
      <w:pPr>
        <w:spacing w:after="200"/>
        <w:jc w:val="both"/>
        <w:rPr>
          <w:rFonts w:ascii="Open Sans" w:eastAsia="Open Sans" w:hAnsi="Open Sans" w:cs="Open Sans"/>
        </w:rPr>
      </w:pPr>
      <w:r>
        <w:rPr>
          <w:rFonts w:ascii="Open Sans" w:eastAsia="Open Sans" w:hAnsi="Open Sans" w:cs="Open Sans"/>
        </w:rPr>
        <w:t xml:space="preserve">En España, </w:t>
      </w:r>
      <w:r>
        <w:rPr>
          <w:rFonts w:ascii="Open Sans Semibold" w:eastAsia="Open Sans Semibold" w:hAnsi="Open Sans Semibold" w:cs="Open Sans Semibold"/>
        </w:rPr>
        <w:t>25 millones de kilogramos de alimentos se desperdician semanalmente</w:t>
      </w:r>
      <w:r>
        <w:rPr>
          <w:rFonts w:ascii="Open Sans" w:eastAsia="Open Sans" w:hAnsi="Open Sans" w:cs="Open Sans"/>
        </w:rPr>
        <w:t xml:space="preserve">, de los cuales más del 80% son productos sin utilizar, según datos extraídos de los fundamentos de la Ley. Estas preocupantes cifras fueron motor de la normativa que se propone objetivos concretos: </w:t>
      </w:r>
      <w:r>
        <w:rPr>
          <w:rFonts w:ascii="Open Sans Semibold" w:eastAsia="Open Sans Semibold" w:hAnsi="Open Sans Semibold" w:cs="Open Sans Semibold"/>
        </w:rPr>
        <w:t>reducir en un 50% el desperdicio per cápita a nivel minorista y del consumidor para 2030</w:t>
      </w:r>
      <w:r>
        <w:rPr>
          <w:rFonts w:ascii="Open Sans" w:eastAsia="Open Sans" w:hAnsi="Open Sans" w:cs="Open Sans"/>
        </w:rPr>
        <w:t>, y en un 20 % las pérdidas de alimentos durante la producción.</w:t>
      </w:r>
    </w:p>
    <w:p w14:paraId="610533DE" w14:textId="77777777" w:rsidR="00A97CE5" w:rsidRDefault="00A97CE5" w:rsidP="00A97CE5">
      <w:pPr>
        <w:spacing w:after="200"/>
        <w:jc w:val="both"/>
        <w:rPr>
          <w:rFonts w:ascii="Open Sans" w:eastAsia="Open Sans" w:hAnsi="Open Sans" w:cs="Open Sans"/>
        </w:rPr>
      </w:pPr>
      <w:r>
        <w:rPr>
          <w:rFonts w:ascii="Open Sans" w:eastAsia="Open Sans" w:hAnsi="Open Sans" w:cs="Open Sans"/>
        </w:rPr>
        <w:t xml:space="preserve">Los </w:t>
      </w:r>
      <w:r>
        <w:rPr>
          <w:rFonts w:ascii="Open Sans" w:eastAsia="Open Sans" w:hAnsi="Open Sans" w:cs="Open Sans"/>
          <w:b/>
        </w:rPr>
        <w:t>supermercados son actores clave en el alcance de estos objetivos</w:t>
      </w:r>
      <w:r>
        <w:rPr>
          <w:rFonts w:ascii="Open Sans" w:eastAsia="Open Sans" w:hAnsi="Open Sans" w:cs="Open Sans"/>
        </w:rPr>
        <w:t xml:space="preserve"> porque se sitúan en un punto estratégico de la cadena alimentaria, conectando a productores y consumidores. Al gestionar grandes volúmenes de alimentos, tienen la capacidad de generar un impacto significativo en la reducción del desperdicio, tanto en el manejo de sus propios excedentes como en la sensibilización de empleados y clientes.</w:t>
      </w:r>
    </w:p>
    <w:p w14:paraId="1FA3A497" w14:textId="77777777" w:rsidR="00A97CE5" w:rsidRDefault="00A97CE5" w:rsidP="00A97CE5">
      <w:pPr>
        <w:spacing w:after="200"/>
        <w:jc w:val="both"/>
        <w:rPr>
          <w:rFonts w:ascii="Open Sans" w:eastAsia="Open Sans" w:hAnsi="Open Sans" w:cs="Open Sans"/>
        </w:rPr>
      </w:pPr>
      <w:r>
        <w:rPr>
          <w:rFonts w:ascii="Open Sans" w:eastAsia="Open Sans" w:hAnsi="Open Sans" w:cs="Open Sans"/>
        </w:rPr>
        <w:lastRenderedPageBreak/>
        <w:t xml:space="preserve">Por eso, </w:t>
      </w:r>
      <w:r>
        <w:rPr>
          <w:rFonts w:ascii="Open Sans Semibold" w:eastAsia="Open Sans Semibold" w:hAnsi="Open Sans Semibold" w:cs="Open Sans Semibold"/>
        </w:rPr>
        <w:t>la ley establece una serie de responsabilidades a los supermercados</w:t>
      </w:r>
      <w:r>
        <w:rPr>
          <w:rFonts w:ascii="Open Sans" w:eastAsia="Open Sans" w:hAnsi="Open Sans" w:cs="Open Sans"/>
        </w:rPr>
        <w:t xml:space="preserve">. Una de las más importantes, detallada en el Artículo 6, indica que aquellos establecimientos de la cadena alimenticia con una superficie superior a 1.300 m² estarán obligados a firmar acuerdos de donación con entidades sociales, garantizando que los alimentos que no puedan ser vendidos, pero que aún sean aptos para el consumo, se destinen a quienes más los necesitan. </w:t>
      </w:r>
    </w:p>
    <w:p w14:paraId="63EDFFA2" w14:textId="77777777" w:rsidR="00A97CE5" w:rsidRDefault="00A97CE5" w:rsidP="00A97CE5">
      <w:pPr>
        <w:spacing w:after="200"/>
        <w:jc w:val="both"/>
        <w:rPr>
          <w:rFonts w:ascii="Open Sans" w:eastAsia="Open Sans" w:hAnsi="Open Sans" w:cs="Open Sans"/>
        </w:rPr>
      </w:pPr>
      <w:r>
        <w:rPr>
          <w:rFonts w:ascii="Open Sans" w:eastAsia="Open Sans" w:hAnsi="Open Sans" w:cs="Open Sans"/>
        </w:rPr>
        <w:t>Además, deberán promover la venta de productos con imperfecciones o cercanos a la fecha de consumo preferente, y fomentar prácticas sostenibles que reduzcan el desperdicio desde el origen.</w:t>
      </w:r>
    </w:p>
    <w:p w14:paraId="3C74CE55" w14:textId="77777777" w:rsidR="00A97CE5" w:rsidRDefault="00A97CE5" w:rsidP="00A97CE5">
      <w:pPr>
        <w:spacing w:after="200"/>
        <w:jc w:val="both"/>
        <w:rPr>
          <w:rFonts w:ascii="Open Sans" w:eastAsia="Open Sans" w:hAnsi="Open Sans" w:cs="Open Sans"/>
          <w:b/>
        </w:rPr>
      </w:pPr>
      <w:r>
        <w:rPr>
          <w:rFonts w:ascii="Open Sans" w:eastAsia="Open Sans" w:hAnsi="Open Sans" w:cs="Open Sans"/>
          <w:b/>
        </w:rPr>
        <w:t>Phenix, un aliado para adaptarse a la nueva legislación</w:t>
      </w:r>
    </w:p>
    <w:p w14:paraId="681C5C9B" w14:textId="77777777" w:rsidR="00A97CE5" w:rsidRDefault="00A97CE5" w:rsidP="00A97CE5">
      <w:pPr>
        <w:spacing w:after="200"/>
        <w:jc w:val="both"/>
        <w:rPr>
          <w:rFonts w:ascii="Open Sans" w:eastAsia="Open Sans" w:hAnsi="Open Sans" w:cs="Open Sans"/>
        </w:rPr>
      </w:pPr>
      <w:r>
        <w:rPr>
          <w:rFonts w:ascii="Open Sans" w:eastAsia="Open Sans" w:hAnsi="Open Sans" w:cs="Open Sans"/>
        </w:rPr>
        <w:t xml:space="preserve">Reducir el desperdicio alimentario y adaptarse al nuevo marco legislativo representa un reto muy importante para los supermercados. Incluye la adopción de medidas y nuevos procesos, que implican desde un </w:t>
      </w:r>
      <w:r>
        <w:rPr>
          <w:rFonts w:ascii="Open Sans Semibold" w:eastAsia="Open Sans Semibold" w:hAnsi="Open Sans Semibold" w:cs="Open Sans Semibold"/>
        </w:rPr>
        <w:t>mejor control sobre las fechas de caducidad</w:t>
      </w:r>
      <w:r>
        <w:rPr>
          <w:rFonts w:ascii="Open Sans" w:eastAsia="Open Sans" w:hAnsi="Open Sans" w:cs="Open Sans"/>
        </w:rPr>
        <w:t xml:space="preserve"> de los productos hasta</w:t>
      </w:r>
      <w:r>
        <w:rPr>
          <w:rFonts w:ascii="Open Sans Semibold" w:eastAsia="Open Sans Semibold" w:hAnsi="Open Sans Semibold" w:cs="Open Sans Semibold"/>
        </w:rPr>
        <w:t xml:space="preserve"> la optimización del etiquetado con descuentos</w:t>
      </w:r>
      <w:r>
        <w:rPr>
          <w:rFonts w:ascii="Open Sans" w:eastAsia="Open Sans" w:hAnsi="Open Sans" w:cs="Open Sans"/>
        </w:rPr>
        <w:t xml:space="preserve"> para aquellos alimentos próximos a vencer. Además, es fundamental establecer un proceso integral de análisis, implementación y seguimiento de las donaciones, que garantice la seguridad alimentaria y una distribución segura, minimizando al máximo cualquier posible incidencia en el proceso.</w:t>
      </w:r>
    </w:p>
    <w:p w14:paraId="23199C53" w14:textId="77777777" w:rsidR="00A97CE5" w:rsidRDefault="00A97CE5" w:rsidP="00A97CE5">
      <w:pPr>
        <w:spacing w:after="200"/>
        <w:jc w:val="both"/>
        <w:rPr>
          <w:rFonts w:ascii="Open Sans" w:eastAsia="Open Sans" w:hAnsi="Open Sans" w:cs="Open Sans"/>
        </w:rPr>
      </w:pPr>
      <w:r>
        <w:rPr>
          <w:rFonts w:ascii="Open Sans" w:eastAsia="Open Sans" w:hAnsi="Open Sans" w:cs="Open Sans"/>
          <w:b/>
        </w:rPr>
        <w:t xml:space="preserve">Phenix </w:t>
      </w:r>
      <w:r>
        <w:rPr>
          <w:rFonts w:ascii="Open Sans" w:eastAsia="Open Sans" w:hAnsi="Open Sans" w:cs="Open Sans"/>
        </w:rPr>
        <w:t>se ha consolidado en los últimos años como un socio estratégico para las grandes cadenas de distribución en España y Europa. La empresa, con 10 años de experiencia en el sector, ha desarrollado soluciones que ayudan a proporcionar mayor control sobre el excedente en los puntos de venta, y poder prevenir y reducir el desperdicio alimentario, generando así un impacto positivo en la sociedad, el medioambiente, y en sus cuentas de resultados.</w:t>
      </w:r>
    </w:p>
    <w:p w14:paraId="288ED2DA" w14:textId="77777777" w:rsidR="00A97CE5" w:rsidRDefault="00A97CE5" w:rsidP="00A97CE5">
      <w:pPr>
        <w:spacing w:after="200"/>
        <w:jc w:val="both"/>
        <w:rPr>
          <w:rFonts w:ascii="Open Sans" w:eastAsia="Open Sans" w:hAnsi="Open Sans" w:cs="Open Sans"/>
        </w:rPr>
      </w:pPr>
      <w:r>
        <w:rPr>
          <w:rFonts w:ascii="Open Sans" w:eastAsia="Open Sans" w:hAnsi="Open Sans" w:cs="Open Sans"/>
        </w:rPr>
        <w:t xml:space="preserve">Además, Phenix trabaja en la gestión de donaciones que optimiza cada paso del proceso, incluyendo el control de las recogidas, la supervisión del cumplimiento de las normativas sanitarias y legales y la trazabilidad de las donaciones. La empresa ha creado una red de alianzas con organizaciones benéficas en toda España, lo que garantiza que los excedentes lleguen a las personas que más lo necesitan. </w:t>
      </w:r>
    </w:p>
    <w:p w14:paraId="0A3BBF9A" w14:textId="77777777" w:rsidR="00A97CE5" w:rsidRDefault="00A97CE5" w:rsidP="00A97CE5">
      <w:pPr>
        <w:jc w:val="both"/>
        <w:rPr>
          <w:rFonts w:ascii="Open Sans" w:eastAsia="Open Sans" w:hAnsi="Open Sans" w:cs="Open Sans"/>
        </w:rPr>
      </w:pPr>
      <w:r>
        <w:rPr>
          <w:rFonts w:ascii="Open Sans" w:eastAsia="Open Sans" w:hAnsi="Open Sans" w:cs="Open Sans"/>
          <w:i/>
        </w:rPr>
        <w:t>“Nos encontramos en la recta final hacia la aprobación de una ley que marcará un antes y un después en la gestión del desperdicio alimentario en España. El tiempo corre, y es fundamental que los supermercados y grandes distribuidores comiencen a prepararse desde ahora, implementando medidas prácticas y estableciendo alianzas con socios estratégicos que conocen las especificidades de la gestión del excedente alimenticio. Desde Phenix entendemos que adaptarse no solo es una obligación, sino también una oportunidad para construir una cadena alimentaria más eficiente y responsable”</w:t>
      </w:r>
      <w:r>
        <w:rPr>
          <w:rFonts w:ascii="Open Sans" w:eastAsia="Open Sans" w:hAnsi="Open Sans" w:cs="Open Sans"/>
        </w:rPr>
        <w:t xml:space="preserve">, indicó </w:t>
      </w:r>
      <w:r>
        <w:rPr>
          <w:rFonts w:ascii="Open Sans" w:eastAsia="Open Sans" w:hAnsi="Open Sans" w:cs="Open Sans"/>
          <w:b/>
        </w:rPr>
        <w:t xml:space="preserve">Jean-Baptiste </w:t>
      </w:r>
      <w:proofErr w:type="spellStart"/>
      <w:r>
        <w:rPr>
          <w:rFonts w:ascii="Open Sans" w:eastAsia="Open Sans" w:hAnsi="Open Sans" w:cs="Open Sans"/>
          <w:b/>
        </w:rPr>
        <w:t>Boubault</w:t>
      </w:r>
      <w:proofErr w:type="spellEnd"/>
      <w:r>
        <w:rPr>
          <w:rFonts w:ascii="Open Sans" w:eastAsia="Open Sans" w:hAnsi="Open Sans" w:cs="Open Sans"/>
          <w:b/>
        </w:rPr>
        <w:t>, Country Manager de Phenix en España.</w:t>
      </w:r>
    </w:p>
    <w:p w14:paraId="31323895" w14:textId="77777777" w:rsidR="00A97CE5" w:rsidRDefault="00A97CE5" w:rsidP="00A97CE5">
      <w:pPr>
        <w:spacing w:line="276" w:lineRule="auto"/>
        <w:jc w:val="both"/>
        <w:rPr>
          <w:rFonts w:ascii="Century Gothic" w:eastAsia="Century Gothic" w:hAnsi="Century Gothic" w:cs="Century Gothic"/>
        </w:rPr>
      </w:pPr>
    </w:p>
    <w:p w14:paraId="6EB18A76" w14:textId="77777777" w:rsidR="00A97CE5" w:rsidRDefault="00A97CE5" w:rsidP="00A97CE5">
      <w:pPr>
        <w:spacing w:line="276" w:lineRule="auto"/>
        <w:jc w:val="center"/>
        <w:rPr>
          <w:rFonts w:ascii="Century Gothic" w:eastAsia="Century Gothic" w:hAnsi="Century Gothic" w:cs="Century Gothic"/>
          <w:color w:val="000000"/>
          <w:sz w:val="20"/>
          <w:szCs w:val="20"/>
        </w:rPr>
      </w:pPr>
      <w:r>
        <w:rPr>
          <w:rFonts w:ascii="Century Gothic" w:eastAsia="Century Gothic" w:hAnsi="Century Gothic" w:cs="Century Gothic"/>
        </w:rPr>
        <w:t>-</w:t>
      </w:r>
      <w:r>
        <w:rPr>
          <w:rFonts w:ascii="Century Gothic" w:eastAsia="Century Gothic" w:hAnsi="Century Gothic" w:cs="Century Gothic"/>
          <w:color w:val="000000"/>
          <w:sz w:val="20"/>
          <w:szCs w:val="20"/>
        </w:rPr>
        <w:t>FIN   -</w:t>
      </w:r>
    </w:p>
    <w:p w14:paraId="2C19C502" w14:textId="77777777" w:rsidR="00A97CE5" w:rsidRDefault="00A97CE5" w:rsidP="00A97CE5">
      <w:pPr>
        <w:spacing w:line="276" w:lineRule="auto"/>
        <w:rPr>
          <w:sz w:val="18"/>
          <w:szCs w:val="18"/>
        </w:rPr>
      </w:pPr>
    </w:p>
    <w:p w14:paraId="73A7A62E" w14:textId="77777777" w:rsidR="00A97CE5" w:rsidRDefault="00A97CE5" w:rsidP="00A97CE5">
      <w:pPr>
        <w:spacing w:line="276" w:lineRule="auto"/>
        <w:rPr>
          <w:sz w:val="18"/>
          <w:szCs w:val="18"/>
        </w:rPr>
      </w:pPr>
      <w:r>
        <w:rPr>
          <w:sz w:val="18"/>
          <w:szCs w:val="18"/>
        </w:rPr>
        <w:t>***</w:t>
      </w:r>
    </w:p>
    <w:p w14:paraId="019F255B" w14:textId="77777777" w:rsidR="00A97CE5" w:rsidRDefault="00A97CE5" w:rsidP="00A97CE5">
      <w:pPr>
        <w:jc w:val="right"/>
        <w:rPr>
          <w:b/>
          <w:sz w:val="18"/>
          <w:szCs w:val="18"/>
        </w:rPr>
      </w:pPr>
    </w:p>
    <w:p w14:paraId="5168C43D" w14:textId="77777777" w:rsidR="00A97CE5" w:rsidRDefault="00A97CE5" w:rsidP="00A97CE5">
      <w:pPr>
        <w:rPr>
          <w:b/>
          <w:sz w:val="18"/>
          <w:szCs w:val="18"/>
        </w:rPr>
      </w:pPr>
      <w:r>
        <w:rPr>
          <w:b/>
          <w:sz w:val="18"/>
          <w:szCs w:val="18"/>
        </w:rPr>
        <w:lastRenderedPageBreak/>
        <w:t>Sobre Phenix</w:t>
      </w:r>
    </w:p>
    <w:p w14:paraId="3B3D2A22" w14:textId="77777777" w:rsidR="00A97CE5" w:rsidRDefault="00A97CE5" w:rsidP="00A97CE5">
      <w:pPr>
        <w:jc w:val="both"/>
        <w:rPr>
          <w:sz w:val="18"/>
          <w:szCs w:val="18"/>
        </w:rPr>
      </w:pPr>
    </w:p>
    <w:p w14:paraId="348634B7" w14:textId="77777777" w:rsidR="00A97CE5" w:rsidRDefault="00A97CE5" w:rsidP="00A97CE5">
      <w:pPr>
        <w:jc w:val="both"/>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Phenix es una empresa especializada en maximizar el valor del excedente en el sector retail alimentario en España. A través de una gestión eficiente, ayuda a las empresas a convertir el excedente en una fuente de rentabilidad, mientras reduce significativamente el desperdicio alimentario y fomenta un impacto positivo en la sociedad y el medio ambiente. Nació en el 2014, en Francia, con una misión muy clara: reducir el desperdicio alimentario, un problema con un grave impacto económico, social y medioambiental a nivel mundial. Actualmente, es líder en el mercado francés y está en plena consolidación en España y Portugal. La empresa cuenta con más de 200 empleados en total. Phenix está certificada como B </w:t>
      </w:r>
      <w:proofErr w:type="spellStart"/>
      <w:r>
        <w:rPr>
          <w:rFonts w:ascii="Century Gothic" w:eastAsia="Century Gothic" w:hAnsi="Century Gothic" w:cs="Century Gothic"/>
          <w:i/>
          <w:sz w:val="16"/>
          <w:szCs w:val="16"/>
        </w:rPr>
        <w:t>Corporation</w:t>
      </w:r>
      <w:proofErr w:type="spellEnd"/>
      <w:r>
        <w:rPr>
          <w:rFonts w:ascii="Century Gothic" w:eastAsia="Century Gothic" w:hAnsi="Century Gothic" w:cs="Century Gothic"/>
          <w:i/>
          <w:sz w:val="16"/>
          <w:szCs w:val="16"/>
        </w:rPr>
        <w:t>, mostrando su compromiso con la sociedad y el medioambiente.</w:t>
      </w:r>
    </w:p>
    <w:p w14:paraId="1BA12C92" w14:textId="77777777" w:rsidR="00A97CE5" w:rsidRDefault="00A97CE5" w:rsidP="00A97CE5">
      <w:pPr>
        <w:jc w:val="both"/>
        <w:rPr>
          <w:rFonts w:ascii="Century Gothic" w:eastAsia="Century Gothic" w:hAnsi="Century Gothic" w:cs="Century Gothic"/>
          <w:i/>
          <w:sz w:val="16"/>
          <w:szCs w:val="16"/>
        </w:rPr>
      </w:pPr>
    </w:p>
    <w:p w14:paraId="11379996" w14:textId="77777777" w:rsidR="00A97CE5" w:rsidRDefault="00A97CE5" w:rsidP="00A97CE5">
      <w:pPr>
        <w:jc w:val="both"/>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Para más información: </w:t>
      </w:r>
      <w:hyperlink r:id="rId8">
        <w:r>
          <w:rPr>
            <w:rFonts w:ascii="Century Gothic" w:eastAsia="Century Gothic" w:hAnsi="Century Gothic" w:cs="Century Gothic"/>
            <w:i/>
            <w:sz w:val="16"/>
            <w:szCs w:val="16"/>
          </w:rPr>
          <w:t>https://www.wearephenix.com/es/</w:t>
        </w:r>
      </w:hyperlink>
    </w:p>
    <w:p w14:paraId="1D0BB9FB" w14:textId="77777777" w:rsidR="00A97CE5" w:rsidRDefault="00A97CE5" w:rsidP="00A97CE5">
      <w:pPr>
        <w:jc w:val="both"/>
        <w:rPr>
          <w:rFonts w:ascii="Century Gothic" w:eastAsia="Century Gothic" w:hAnsi="Century Gothic" w:cs="Century Gothic"/>
          <w:i/>
          <w:sz w:val="16"/>
          <w:szCs w:val="16"/>
        </w:rPr>
      </w:pPr>
    </w:p>
    <w:p w14:paraId="65EA8548" w14:textId="77777777" w:rsidR="00A97CE5" w:rsidRDefault="00A97CE5" w:rsidP="00A97CE5">
      <w:pPr>
        <w:jc w:val="both"/>
        <w:rPr>
          <w:b/>
          <w:sz w:val="18"/>
          <w:szCs w:val="18"/>
        </w:rPr>
      </w:pPr>
    </w:p>
    <w:p w14:paraId="710816B6" w14:textId="77777777" w:rsidR="00A97CE5" w:rsidRDefault="00A97CE5" w:rsidP="00A97CE5">
      <w:pPr>
        <w:jc w:val="right"/>
        <w:rPr>
          <w:b/>
          <w:sz w:val="18"/>
          <w:szCs w:val="18"/>
        </w:rPr>
      </w:pPr>
    </w:p>
    <w:p w14:paraId="5E5C321C" w14:textId="77777777" w:rsidR="00A97CE5" w:rsidRDefault="00A97CE5" w:rsidP="00A97CE5">
      <w:pPr>
        <w:jc w:val="right"/>
        <w:rPr>
          <w:b/>
          <w:sz w:val="20"/>
          <w:szCs w:val="20"/>
        </w:rPr>
      </w:pPr>
      <w:r>
        <w:rPr>
          <w:b/>
          <w:sz w:val="20"/>
          <w:szCs w:val="20"/>
        </w:rPr>
        <w:t>Contacto para la prensa:</w:t>
      </w:r>
    </w:p>
    <w:p w14:paraId="11FB4EE4" w14:textId="77777777" w:rsidR="00A97CE5" w:rsidRDefault="00A97CE5" w:rsidP="00A97CE5">
      <w:pPr>
        <w:jc w:val="right"/>
        <w:rPr>
          <w:b/>
          <w:sz w:val="20"/>
          <w:szCs w:val="20"/>
        </w:rPr>
      </w:pPr>
    </w:p>
    <w:p w14:paraId="710E37D3" w14:textId="77777777" w:rsidR="00A97CE5" w:rsidRDefault="00A97CE5" w:rsidP="00A97CE5">
      <w:pPr>
        <w:jc w:val="right"/>
        <w:rPr>
          <w:b/>
          <w:sz w:val="20"/>
          <w:szCs w:val="20"/>
        </w:rPr>
      </w:pPr>
      <w:r>
        <w:rPr>
          <w:b/>
          <w:sz w:val="20"/>
          <w:szCs w:val="20"/>
        </w:rPr>
        <w:t xml:space="preserve">Marina Gascón Martínez de Quel </w:t>
      </w:r>
    </w:p>
    <w:p w14:paraId="49807FEE" w14:textId="77777777" w:rsidR="00A97CE5" w:rsidRDefault="00A97CE5" w:rsidP="00A97CE5">
      <w:pPr>
        <w:jc w:val="right"/>
        <w:rPr>
          <w:sz w:val="20"/>
          <w:szCs w:val="20"/>
        </w:rPr>
      </w:pPr>
      <w:hyperlink r:id="rId9">
        <w:r>
          <w:rPr>
            <w:color w:val="467886"/>
            <w:sz w:val="20"/>
            <w:szCs w:val="20"/>
            <w:u w:val="single"/>
          </w:rPr>
          <w:t>marina.gascon@newlink-group.com</w:t>
        </w:r>
      </w:hyperlink>
      <w:r>
        <w:rPr>
          <w:sz w:val="20"/>
          <w:szCs w:val="20"/>
        </w:rPr>
        <w:t xml:space="preserve"> </w:t>
      </w:r>
    </w:p>
    <w:p w14:paraId="61B8A50D" w14:textId="77777777" w:rsidR="00A97CE5" w:rsidRDefault="00A97CE5" w:rsidP="00A97CE5">
      <w:pPr>
        <w:jc w:val="right"/>
        <w:rPr>
          <w:sz w:val="20"/>
          <w:szCs w:val="20"/>
        </w:rPr>
      </w:pPr>
      <w:r>
        <w:rPr>
          <w:sz w:val="20"/>
          <w:szCs w:val="20"/>
        </w:rPr>
        <w:t xml:space="preserve">+ 34 651 963 459 </w:t>
      </w:r>
    </w:p>
    <w:p w14:paraId="03A0CA87" w14:textId="77777777" w:rsidR="00A97CE5" w:rsidRDefault="00A97CE5" w:rsidP="00A97CE5">
      <w:pPr>
        <w:jc w:val="right"/>
        <w:rPr>
          <w:sz w:val="20"/>
          <w:szCs w:val="20"/>
        </w:rPr>
      </w:pPr>
    </w:p>
    <w:p w14:paraId="4A86589C" w14:textId="77777777" w:rsidR="00A97CE5" w:rsidRDefault="00A97CE5" w:rsidP="00A97CE5">
      <w:pPr>
        <w:jc w:val="right"/>
        <w:rPr>
          <w:b/>
          <w:sz w:val="20"/>
          <w:szCs w:val="20"/>
        </w:rPr>
      </w:pPr>
      <w:r>
        <w:rPr>
          <w:b/>
          <w:color w:val="434343"/>
          <w:sz w:val="20"/>
          <w:szCs w:val="20"/>
        </w:rPr>
        <w:t>Marí</w:t>
      </w:r>
      <w:r>
        <w:rPr>
          <w:b/>
          <w:sz w:val="20"/>
          <w:szCs w:val="20"/>
        </w:rPr>
        <w:t>a Sánchez-Girón</w:t>
      </w:r>
    </w:p>
    <w:p w14:paraId="1F024206" w14:textId="77777777" w:rsidR="00A97CE5" w:rsidRDefault="00A97CE5" w:rsidP="00A97CE5">
      <w:pPr>
        <w:jc w:val="right"/>
        <w:rPr>
          <w:sz w:val="20"/>
          <w:szCs w:val="20"/>
          <w:u w:val="single"/>
        </w:rPr>
      </w:pPr>
      <w:proofErr w:type="gramStart"/>
      <w:r>
        <w:rPr>
          <w:sz w:val="20"/>
          <w:szCs w:val="20"/>
          <w:u w:val="single"/>
        </w:rPr>
        <w:t>maria.sanchez</w:t>
      </w:r>
      <w:proofErr w:type="gramEnd"/>
      <w:r>
        <w:rPr>
          <w:sz w:val="20"/>
          <w:szCs w:val="20"/>
          <w:u w:val="single"/>
        </w:rPr>
        <w:t>-giron</w:t>
      </w:r>
      <w:hyperlink r:id="rId10">
        <w:r>
          <w:rPr>
            <w:color w:val="0563C1"/>
            <w:sz w:val="20"/>
            <w:szCs w:val="20"/>
            <w:u w:val="single"/>
          </w:rPr>
          <w:t>@newlink-group.com</w:t>
        </w:r>
      </w:hyperlink>
    </w:p>
    <w:p w14:paraId="34ABA27E" w14:textId="77777777" w:rsidR="00A97CE5" w:rsidRDefault="00A97CE5" w:rsidP="00A97CE5">
      <w:pPr>
        <w:jc w:val="right"/>
        <w:rPr>
          <w:sz w:val="20"/>
          <w:szCs w:val="20"/>
          <w:u w:val="single"/>
        </w:rPr>
      </w:pPr>
      <w:r>
        <w:rPr>
          <w:sz w:val="20"/>
          <w:szCs w:val="20"/>
        </w:rPr>
        <w:t>+34 653 125 545</w:t>
      </w:r>
    </w:p>
    <w:p w14:paraId="37858C19" w14:textId="77777777" w:rsidR="00A97CE5" w:rsidRDefault="00A97CE5" w:rsidP="00A97CE5"/>
    <w:p w14:paraId="195C6A22" w14:textId="77777777" w:rsidR="00A97CE5" w:rsidRDefault="00A97CE5" w:rsidP="00A97CE5"/>
    <w:p w14:paraId="09606608" w14:textId="77777777" w:rsidR="00A97CE5" w:rsidRDefault="00A97CE5" w:rsidP="00A97CE5"/>
    <w:p w14:paraId="0DA267A8" w14:textId="77777777" w:rsidR="001F172C" w:rsidRDefault="001F172C"/>
    <w:sectPr w:rsidR="001F172C">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327A" w14:textId="77777777" w:rsidR="00925D12" w:rsidRDefault="00925D12" w:rsidP="00925D12">
      <w:r>
        <w:separator/>
      </w:r>
    </w:p>
  </w:endnote>
  <w:endnote w:type="continuationSeparator" w:id="0">
    <w:p w14:paraId="3ACA7D5A" w14:textId="77777777" w:rsidR="00925D12" w:rsidRDefault="00925D12" w:rsidP="0092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C165" w14:textId="77777777" w:rsidR="00925D12" w:rsidRDefault="00925D12" w:rsidP="00925D12">
      <w:r>
        <w:separator/>
      </w:r>
    </w:p>
  </w:footnote>
  <w:footnote w:type="continuationSeparator" w:id="0">
    <w:p w14:paraId="52D433EB" w14:textId="77777777" w:rsidR="00925D12" w:rsidRDefault="00925D12" w:rsidP="00925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C54C" w14:textId="5EFD0020" w:rsidR="00925D12" w:rsidRDefault="00925D12" w:rsidP="00925D12">
    <w:pPr>
      <w:pStyle w:val="Encabezado"/>
      <w:jc w:val="center"/>
    </w:pPr>
    <w:r>
      <w:rPr>
        <w:noProof/>
        <w:color w:val="000000"/>
      </w:rPr>
      <w:drawing>
        <wp:inline distT="0" distB="0" distL="0" distR="0" wp14:anchorId="2AFABDF8" wp14:editId="70568D9C">
          <wp:extent cx="1581524" cy="615162"/>
          <wp:effectExtent l="0" t="0" r="0" b="0"/>
          <wp:docPr id="1706934831" name="image1.jpg"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Logotipo, nombre de la empresa&#10;&#10;Descripción generada automáticamente"/>
                  <pic:cNvPicPr preferRelativeResize="0"/>
                </pic:nvPicPr>
                <pic:blipFill>
                  <a:blip r:embed="rId1"/>
                  <a:srcRect/>
                  <a:stretch>
                    <a:fillRect/>
                  </a:stretch>
                </pic:blipFill>
                <pic:spPr>
                  <a:xfrm>
                    <a:off x="0" y="0"/>
                    <a:ext cx="1581524" cy="6151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0602F"/>
    <w:multiLevelType w:val="multilevel"/>
    <w:tmpl w:val="5A60A67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16cid:durableId="134227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2F"/>
    <w:rsid w:val="001443B8"/>
    <w:rsid w:val="001F172C"/>
    <w:rsid w:val="004841D7"/>
    <w:rsid w:val="006E0A2F"/>
    <w:rsid w:val="00925D12"/>
    <w:rsid w:val="00A97CE5"/>
    <w:rsid w:val="00BA40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663A"/>
  <w15:chartTrackingRefBased/>
  <w15:docId w15:val="{F9049284-7A80-4171-ADE5-460F097B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CE5"/>
    <w:pPr>
      <w:spacing w:after="0" w:line="240" w:lineRule="auto"/>
    </w:pPr>
    <w:rPr>
      <w:rFonts w:ascii="Calibri" w:eastAsia="Calibri" w:hAnsi="Calibri" w:cs="Calibri"/>
      <w:kern w:val="0"/>
      <w:sz w:val="22"/>
      <w:szCs w:val="22"/>
      <w:lang w:eastAsia="es-ES"/>
      <w14:ligatures w14:val="none"/>
    </w:rPr>
  </w:style>
  <w:style w:type="paragraph" w:styleId="Ttulo1">
    <w:name w:val="heading 1"/>
    <w:basedOn w:val="Normal"/>
    <w:next w:val="Normal"/>
    <w:link w:val="Ttulo1Car"/>
    <w:uiPriority w:val="9"/>
    <w:qFormat/>
    <w:rsid w:val="006E0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0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0A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0A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0A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0A2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0A2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0A2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0A2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0A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0A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0A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0A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0A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0A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0A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0A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0A2F"/>
    <w:rPr>
      <w:rFonts w:eastAsiaTheme="majorEastAsia" w:cstheme="majorBidi"/>
      <w:color w:val="272727" w:themeColor="text1" w:themeTint="D8"/>
    </w:rPr>
  </w:style>
  <w:style w:type="paragraph" w:styleId="Ttulo">
    <w:name w:val="Title"/>
    <w:basedOn w:val="Normal"/>
    <w:next w:val="Normal"/>
    <w:link w:val="TtuloCar"/>
    <w:uiPriority w:val="10"/>
    <w:qFormat/>
    <w:rsid w:val="006E0A2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0A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0A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0A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0A2F"/>
    <w:pPr>
      <w:spacing w:before="160"/>
      <w:jc w:val="center"/>
    </w:pPr>
    <w:rPr>
      <w:i/>
      <w:iCs/>
      <w:color w:val="404040" w:themeColor="text1" w:themeTint="BF"/>
    </w:rPr>
  </w:style>
  <w:style w:type="character" w:customStyle="1" w:styleId="CitaCar">
    <w:name w:val="Cita Car"/>
    <w:basedOn w:val="Fuentedeprrafopredeter"/>
    <w:link w:val="Cita"/>
    <w:uiPriority w:val="29"/>
    <w:rsid w:val="006E0A2F"/>
    <w:rPr>
      <w:i/>
      <w:iCs/>
      <w:color w:val="404040" w:themeColor="text1" w:themeTint="BF"/>
    </w:rPr>
  </w:style>
  <w:style w:type="paragraph" w:styleId="Prrafodelista">
    <w:name w:val="List Paragraph"/>
    <w:basedOn w:val="Normal"/>
    <w:uiPriority w:val="34"/>
    <w:qFormat/>
    <w:rsid w:val="006E0A2F"/>
    <w:pPr>
      <w:ind w:left="720"/>
      <w:contextualSpacing/>
    </w:pPr>
  </w:style>
  <w:style w:type="character" w:styleId="nfasisintenso">
    <w:name w:val="Intense Emphasis"/>
    <w:basedOn w:val="Fuentedeprrafopredeter"/>
    <w:uiPriority w:val="21"/>
    <w:qFormat/>
    <w:rsid w:val="006E0A2F"/>
    <w:rPr>
      <w:i/>
      <w:iCs/>
      <w:color w:val="0F4761" w:themeColor="accent1" w:themeShade="BF"/>
    </w:rPr>
  </w:style>
  <w:style w:type="paragraph" w:styleId="Citadestacada">
    <w:name w:val="Intense Quote"/>
    <w:basedOn w:val="Normal"/>
    <w:next w:val="Normal"/>
    <w:link w:val="CitadestacadaCar"/>
    <w:uiPriority w:val="30"/>
    <w:qFormat/>
    <w:rsid w:val="006E0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0A2F"/>
    <w:rPr>
      <w:i/>
      <w:iCs/>
      <w:color w:val="0F4761" w:themeColor="accent1" w:themeShade="BF"/>
    </w:rPr>
  </w:style>
  <w:style w:type="character" w:styleId="Referenciaintensa">
    <w:name w:val="Intense Reference"/>
    <w:basedOn w:val="Fuentedeprrafopredeter"/>
    <w:uiPriority w:val="32"/>
    <w:qFormat/>
    <w:rsid w:val="006E0A2F"/>
    <w:rPr>
      <w:b/>
      <w:bCs/>
      <w:smallCaps/>
      <w:color w:val="0F4761" w:themeColor="accent1" w:themeShade="BF"/>
      <w:spacing w:val="5"/>
    </w:rPr>
  </w:style>
  <w:style w:type="paragraph" w:styleId="Encabezado">
    <w:name w:val="header"/>
    <w:basedOn w:val="Normal"/>
    <w:link w:val="EncabezadoCar"/>
    <w:uiPriority w:val="99"/>
    <w:unhideWhenUsed/>
    <w:rsid w:val="00925D12"/>
    <w:pPr>
      <w:tabs>
        <w:tab w:val="center" w:pos="4252"/>
        <w:tab w:val="right" w:pos="8504"/>
      </w:tabs>
    </w:pPr>
  </w:style>
  <w:style w:type="character" w:customStyle="1" w:styleId="EncabezadoCar">
    <w:name w:val="Encabezado Car"/>
    <w:basedOn w:val="Fuentedeprrafopredeter"/>
    <w:link w:val="Encabezado"/>
    <w:uiPriority w:val="99"/>
    <w:rsid w:val="00925D12"/>
  </w:style>
  <w:style w:type="paragraph" w:styleId="Piedepgina">
    <w:name w:val="footer"/>
    <w:basedOn w:val="Normal"/>
    <w:link w:val="PiedepginaCar"/>
    <w:uiPriority w:val="99"/>
    <w:unhideWhenUsed/>
    <w:rsid w:val="00925D12"/>
    <w:pPr>
      <w:tabs>
        <w:tab w:val="center" w:pos="4252"/>
        <w:tab w:val="right" w:pos="8504"/>
      </w:tabs>
    </w:pPr>
  </w:style>
  <w:style w:type="character" w:customStyle="1" w:styleId="PiedepginaCar">
    <w:name w:val="Pie de página Car"/>
    <w:basedOn w:val="Fuentedeprrafopredeter"/>
    <w:link w:val="Piedepgina"/>
    <w:uiPriority w:val="99"/>
    <w:rsid w:val="00925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rephenix.com/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earephenix.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mailto:marina.gascon@newlink-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5323</Characters>
  <Application>Microsoft Office Word</Application>
  <DocSecurity>0</DocSecurity>
  <Lines>44</Lines>
  <Paragraphs>12</Paragraphs>
  <ScaleCrop>false</ScaleCrop>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Sánchez-Girón</dc:creator>
  <cp:keywords/>
  <dc:description/>
  <cp:lastModifiedBy>María Sánchez-Girón</cp:lastModifiedBy>
  <cp:revision>3</cp:revision>
  <dcterms:created xsi:type="dcterms:W3CDTF">2025-01-29T14:58:00Z</dcterms:created>
  <dcterms:modified xsi:type="dcterms:W3CDTF">2025-01-29T14:58:00Z</dcterms:modified>
</cp:coreProperties>
</file>