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b w:val="1"/>
          <w:color w:val="e30513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36"/>
          <w:szCs w:val="36"/>
          <w:rtl w:val="0"/>
        </w:rPr>
        <w:t xml:space="preserve">Dia invertirá más de 30 millones de euros en fruta de verano de proveedores nacionale</w:t>
      </w: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36"/>
          <w:szCs w:val="36"/>
          <w:rtl w:val="0"/>
        </w:rPr>
        <w:t xml:space="preserve">s</w:t>
      </w: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La iniciativa se enmarca en el compromiso de Dia con el sector hortofrutícola español, impulsando la economía local y el tejido empresarial en las zonas rurales a la par que fomenta las relaciones estables y transparentes con sus proveedores nacionales. 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La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compañía trabaja con una red conformada por 25 agricultores nacionales en regiones productoras como Andalucía, Murcia, Extremadura, Aragón, Castilla- La Mancha o Cataluña.</w:t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22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0"/>
          <w:szCs w:val="20"/>
          <w:highlight w:val="white"/>
          <w:rtl w:val="0"/>
        </w:rPr>
        <w:t xml:space="preserve">de mayo de 2024, Mad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0"/>
          <w:szCs w:val="20"/>
          <w:rtl w:val="0"/>
        </w:rPr>
        <w:t xml:space="preserve">rid.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Un total de 400 gramos diarios de frutas y hortalizas son necesarios para mantener un estilo de vida saludable y contribuir a la prevención de enfermedades crónicas, según la Organización Mundial de la Salud (OMS). Sin embargo, del reciente informe europeo ‘Acortar distancias hacia una vida más saludable’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realizado por la empresa de salud y bienestar Juice Plus+, que analiza las tendencias de la población de siete países, se desprende que en España solo se consume 29% de la fruta y verdura recomendada. Una tendencia que se ha visto reflejada en ventas ya que, según el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0000ff"/>
            <w:sz w:val="20"/>
            <w:szCs w:val="20"/>
            <w:u w:val="single"/>
            <w:rtl w:val="0"/>
          </w:rPr>
          <w:t xml:space="preserve">Barómetro del Gasto en Retail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de NIQ, estas se mantuvieron estables, sin grandes cambios en volumen en el último año.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b w:val="1"/>
          <w:color w:val="ff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2"/>
          <w:szCs w:val="22"/>
          <w:rtl w:val="0"/>
        </w:rPr>
        <w:t xml:space="preserve">Una red de 25 proveedores nacionales de fruta de verano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Bajo la premisa de ofrecer alimentos de calidad a precios asequibles, impulsar unos hábitos de alimentación saludable  y reafirmar su compromiso con el desarrollo de la economía española, este 2024 Dia continúa promoviendo el consumo de frutas y apoyando a los productores nacionales, a los que comprará el 100% de la fruta de la campaña de verano, invirtiendo más de 30 millones de euros. Esto incluye todas las categorías de fruta de hueso, así como sandías y melones. </w:t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 concreto, Dia trabaja con una red compuesta por aproximadamente 25 proveedores de fruta de verano ubicados en diferentes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comunidades autónomas, entre las que cobran especial protagonismo Andalucía, Murcia, Extremadura, Aragón, Castilla- La Mancha o Cataluña. En estas regiones, la compañía centra sus esfuerzos en estimular la generación de empleo local e impulsar el emprendimiento, al tiempo que atiende a las necesidades específicas de cada cliente. Este hito supone un nuevo paso en su misión de generar un impacto positivo en todos los lugares donde opera y fomentar relaciones estables y transparentes con sus proveedores nacionales.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“Como agente dinamizador económico y social, en Dia asumimos orgullosos la responsabilidad no solo de garantizar productos de calidad a nuestros clientes, sino también de amplificar el impacto que tenemos en las comunidades y barrios donde operamos. La decisión de adquirir el 100% de nuestra fruta de verano de origen España responde a dicho compromiso, permitiéndonos contribuir a una cadena de valor más sostenible en la que trabajamos conjuntamente con proveedores nacionales para cuidar el entorno natural y facilitar el consumo de estos productos durante los meses estivales” afirma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José Manuel Blanco, director de Frescos de Dia España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Esta iniciativa está alineada con el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0000ff"/>
            <w:sz w:val="20"/>
            <w:szCs w:val="20"/>
            <w:u w:val="single"/>
            <w:rtl w:val="0"/>
          </w:rPr>
          <w:t xml:space="preserve">Plan Estratégico de Sostenibilidad 2024-2025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que Grupo Dia ha puesto en marcha bajo el lema ‘Cada día cuenta’, y que pivota sobre cuatro ejes de actuación: Desarrollo de la economía de proximidad; Impulso de una cultura diversa e inclusiva; Cuidado de nuestro entorno natural; Tracción de una cadena de valor más sostenible. Además, con el objetivo de seguir facilitando el acceso a una alimentación saludable y de calidad, la compañía avanzará durante todo el año 2024 en la implementación de su programa ‘Comer mejor cada día’, bajo el que Dia quiere contribuir a mitigar las barreras alimentarias y facilitar la adopción de hábitos de alimentación saludables.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rFonts w:ascii="Montserrat" w:cs="Montserrat" w:eastAsia="Montserrat" w:hAnsi="Montserrat"/>
          <w:b w:val="1"/>
          <w:color w:val="e305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rFonts w:ascii="Montserrat" w:cs="Montserrat" w:eastAsia="Montserrat" w:hAnsi="Montserrat"/>
          <w:b w:val="1"/>
          <w:color w:val="e305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Sobre Grupo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rtl w:val="0"/>
        </w:rPr>
        <w:t xml:space="preserve">Cada día más 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Somos Grupo Dia, la red líder de tiendas de proximidad con casi 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4.000 establecimientos en España, Argentina y Brasil. Somos la tienda del barrio, la que facilita una experiencia de compra f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ácil,  rápida y completa, cerca de casa y con productos de gran calidad a un precio asequible, tanto a través de nuestras tiendas físicas como de nuestro canal online.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Nuestra primera tienda Dia abrió sus puertas en Madrid en 1979. Hoy, cuatro décadas después, con la proximidad como fortaleza y la diversidad como bandera, las más de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23.000 pe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rsonas que forman nuestro equipo en tienda, almacén y oficina, y las 17.000 de nuestra red de franquiciados se mueven por un mismo propósito: estar cada día más cerca para ofrecer gran calidad al alcance de todos. Juntos, hemos construido una compañía que cotiza en la bolsa de España desde 2011 y que logró una facturación de 6.759 millones en 2023.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Para lograr nuestro propósito, nos apoyamos en una sólida red de proveedores, realizando el 96% de nuestras compras de manera local. Esto nos permite ofrecer a nuestros más 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de 13 millones de clientes 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fidelizados en el mundo una alimentación accesible y al alcance de todos, con un surtido completo, una clara apuesta por los productos frescos y una marca Dia renovada. Además, trabajamos para generar un impacto positivo allí donde operamos. Gracias a las oportunidades de empleo y autoempleo que fomentamos en cada barrio, generamos más de 151.000 puestos de trabajo directos e indirectos en 2021 y nuestra contribución al PIB de los cuatro países superó los 9.200 millones de euros.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color w:val="222222"/>
          <w:sz w:val="16"/>
          <w:szCs w:val="16"/>
          <w:highlight w:val="white"/>
        </w:rPr>
      </w:pPr>
      <w:hyperlink r:id="rId10">
        <w:r w:rsidDel="00000000" w:rsidR="00000000" w:rsidRPr="00000000">
          <w:rPr>
            <w:rFonts w:ascii="Montserrat" w:cs="Montserrat" w:eastAsia="Montserrat" w:hAnsi="Montserrat"/>
            <w:b w:val="1"/>
            <w:color w:val="0000ff"/>
            <w:sz w:val="16"/>
            <w:szCs w:val="16"/>
            <w:highlight w:val="white"/>
            <w:u w:val="single"/>
            <w:rtl w:val="0"/>
          </w:rPr>
          <w:t xml:space="preserve">www.diacorporate.com</w:t>
        </w:r>
      </w:hyperlink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highlight w:val="white"/>
          <w:rtl w:val="0"/>
        </w:rPr>
        <w:tab/>
        <w:tab/>
        <w:t xml:space="preserve">#CadaDiaMasCerca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ab/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16"/>
          <w:szCs w:val="16"/>
          <w:highlight w:val="white"/>
          <w:rtl w:val="0"/>
        </w:rPr>
        <w:t xml:space="preserve">Linkedin: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</w:t>
      </w:r>
      <w:hyperlink r:id="rId11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Grupo Dia</w:t>
        </w:r>
      </w:hyperlink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   </w:t>
        <w:tab/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 Light" w:cs="Montserrat Light" w:eastAsia="Montserrat Light" w:hAnsi="Montserrat Ligh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 Light" w:cs="Montserrat Light" w:eastAsia="Montserrat Light" w:hAnsi="Montserrat Light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tabs>
                <w:tab w:val="center" w:leader="none" w:pos="4252"/>
                <w:tab w:val="right" w:leader="none" w:pos="8504"/>
              </w:tabs>
              <w:spacing w:after="120" w:lineRule="auto"/>
              <w:rPr>
                <w:rFonts w:ascii="Montserrat Medium" w:cs="Montserrat Medium" w:eastAsia="Montserrat Medium" w:hAnsi="Montserrat Medium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sz w:val="16"/>
                <w:szCs w:val="16"/>
                <w:rtl w:val="0"/>
              </w:rPr>
              <w:t xml:space="preserve">Dia España</w:t>
            </w:r>
          </w:p>
          <w:p w:rsidR="00000000" w:rsidDel="00000000" w:rsidP="00000000" w:rsidRDefault="00000000" w:rsidRPr="00000000" w14:paraId="00000025">
            <w:pPr>
              <w:rPr>
                <w:rFonts w:ascii="Montserrat Light" w:cs="Montserrat Light" w:eastAsia="Montserrat Light" w:hAnsi="Montserrat Light"/>
                <w:sz w:val="16"/>
                <w:szCs w:val="16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16"/>
                <w:szCs w:val="16"/>
                <w:rtl w:val="0"/>
              </w:rPr>
              <w:t xml:space="preserve">Raquel González</w:t>
            </w:r>
          </w:p>
          <w:p w:rsidR="00000000" w:rsidDel="00000000" w:rsidP="00000000" w:rsidRDefault="00000000" w:rsidRPr="00000000" w14:paraId="00000026">
            <w:pPr>
              <w:rPr>
                <w:rFonts w:ascii="Montserrat Light" w:cs="Montserrat Light" w:eastAsia="Montserrat Light" w:hAnsi="Montserrat Light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Montserrat Light" w:cs="Montserrat Light" w:eastAsia="Montserrat Light" w:hAnsi="Montserrat Light"/>
                  <w:color w:val="0000ff"/>
                  <w:sz w:val="16"/>
                  <w:szCs w:val="16"/>
                  <w:u w:val="single"/>
                  <w:rtl w:val="0"/>
                </w:rPr>
                <w:t xml:space="preserve">raquel.gonzalez.rodriguez@diagroup.com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center" w:leader="none" w:pos="4252"/>
                <w:tab w:val="right" w:leader="none" w:pos="8504"/>
              </w:tabs>
              <w:rPr>
                <w:rFonts w:ascii="Montserrat Light" w:cs="Montserrat Light" w:eastAsia="Montserrat Light" w:hAnsi="Montserrat Light"/>
                <w:sz w:val="16"/>
                <w:szCs w:val="16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16"/>
                <w:szCs w:val="16"/>
                <w:rtl w:val="0"/>
              </w:rPr>
              <w:t xml:space="preserve">+34 655712890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right"/>
              <w:rPr>
                <w:rFonts w:ascii="Montserrat Medium" w:cs="Montserrat Medium" w:eastAsia="Montserrat Medium" w:hAnsi="Montserrat Medium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sz w:val="16"/>
                <w:szCs w:val="16"/>
                <w:rtl w:val="0"/>
              </w:rPr>
              <w:t xml:space="preserve">Comunicación Dia España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right"/>
              <w:rPr>
                <w:rFonts w:ascii="Montserrat Light" w:cs="Montserrat Light" w:eastAsia="Montserrat Light" w:hAnsi="Montserrat Light"/>
                <w:sz w:val="16"/>
                <w:szCs w:val="16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color w:val="0000ff"/>
                <w:sz w:val="16"/>
                <w:szCs w:val="16"/>
                <w:u w:val="single"/>
                <w:rtl w:val="0"/>
              </w:rPr>
              <w:t xml:space="preserve">comunicacion@diagroup.com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 Light" w:cs="Montserrat Light" w:eastAsia="Montserrat Light" w:hAnsi="Montserrat Light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2221865</wp:posOffset>
          </wp:positionH>
          <wp:positionV relativeFrom="paragraph">
            <wp:posOffset>151130</wp:posOffset>
          </wp:positionV>
          <wp:extent cx="264160" cy="264160"/>
          <wp:effectExtent b="0" l="0" r="0" t="0"/>
          <wp:wrapSquare wrapText="bothSides" distB="0" distT="0" distL="114300" distR="114300"/>
          <wp:docPr id="195901305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160" cy="264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2324100</wp:posOffset>
              </wp:positionH>
              <wp:positionV relativeFrom="paragraph">
                <wp:posOffset>50800</wp:posOffset>
              </wp:positionV>
              <wp:extent cx="1136650" cy="308610"/>
              <wp:effectExtent b="0" l="0" r="0" t="0"/>
              <wp:wrapNone/>
              <wp:docPr id="195901304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Dia España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2324100</wp:posOffset>
              </wp:positionH>
              <wp:positionV relativeFrom="paragraph">
                <wp:posOffset>50800</wp:posOffset>
              </wp:positionV>
              <wp:extent cx="1136650" cy="308610"/>
              <wp:effectExtent b="0" l="0" r="0" t="0"/>
              <wp:wrapNone/>
              <wp:docPr id="19590130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6650" cy="308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-558790</wp:posOffset>
          </wp:positionH>
          <wp:positionV relativeFrom="paragraph">
            <wp:posOffset>152188</wp:posOffset>
          </wp:positionV>
          <wp:extent cx="263525" cy="263525"/>
          <wp:effectExtent b="0" l="0" r="0" t="0"/>
          <wp:wrapSquare wrapText="bothSides" distB="0" distT="0" distL="114300" distR="114300"/>
          <wp:docPr id="19590130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25" cy="263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50800</wp:posOffset>
              </wp:positionV>
              <wp:extent cx="1136650" cy="308610"/>
              <wp:effectExtent b="0" l="0" r="0" t="0"/>
              <wp:wrapNone/>
              <wp:docPr id="195901304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@Dia_Esp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50800</wp:posOffset>
              </wp:positionV>
              <wp:extent cx="1136650" cy="308610"/>
              <wp:effectExtent b="0" l="0" r="0" t="0"/>
              <wp:wrapNone/>
              <wp:docPr id="195901304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6650" cy="308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4724400</wp:posOffset>
              </wp:positionH>
              <wp:positionV relativeFrom="paragraph">
                <wp:posOffset>50800</wp:posOffset>
              </wp:positionV>
              <wp:extent cx="1280160" cy="308610"/>
              <wp:effectExtent b="0" l="0" r="0" t="0"/>
              <wp:wrapNone/>
              <wp:docPr id="195901304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53545" y="3673320"/>
                        <a:ext cx="118491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u w:val="single"/>
                              <w:vertAlign w:val="baseline"/>
                            </w:rPr>
                            <w:t xml:space="preserve">www.dia.es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4724400</wp:posOffset>
              </wp:positionH>
              <wp:positionV relativeFrom="paragraph">
                <wp:posOffset>50800</wp:posOffset>
              </wp:positionV>
              <wp:extent cx="1280160" cy="308610"/>
              <wp:effectExtent b="0" l="0" r="0" t="0"/>
              <wp:wrapNone/>
              <wp:docPr id="195901304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0160" cy="308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Light" w:cs="Montserrat Light" w:eastAsia="Montserrat Light" w:hAnsi="Montserrat Ligh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ontserrat Light" w:cs="Montserrat Light" w:eastAsia="Montserrat Light" w:hAnsi="Montserrat Ligh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JuicePlus+. (abril 2024). </w:t>
      </w:r>
      <w:r w:rsidDel="00000000" w:rsidR="00000000" w:rsidRPr="00000000">
        <w:rPr>
          <w:rFonts w:ascii="Montserrat Light" w:cs="Montserrat Light" w:eastAsia="Montserrat Light" w:hAnsi="Montserrat Ligh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Acortar distancias hacia una vida más saludable.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-1074414</wp:posOffset>
          </wp:positionH>
          <wp:positionV relativeFrom="paragraph">
            <wp:posOffset>-445762</wp:posOffset>
          </wp:positionV>
          <wp:extent cx="7699375" cy="1119505"/>
          <wp:effectExtent b="0" l="0" r="0" t="0"/>
          <wp:wrapSquare wrapText="bothSides" distB="0" distT="0" distL="114300" distR="114300"/>
          <wp:docPr id="195901304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99375" cy="11195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D32AC"/>
    <w:rPr>
      <w:lang w:eastAsia="es-ES_tradnl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NormalTable00" w:customStyle="1">
    <w:name w:val="Normal Table0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403EB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D403EB"/>
  </w:style>
  <w:style w:type="paragraph" w:styleId="Piedepgina">
    <w:name w:val="footer"/>
    <w:basedOn w:val="Normal"/>
    <w:link w:val="PiedepginaCar"/>
    <w:uiPriority w:val="99"/>
    <w:unhideWhenUsed w:val="1"/>
    <w:rsid w:val="00D403EB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D403EB"/>
  </w:style>
  <w:style w:type="paragraph" w:styleId="NormalWeb">
    <w:name w:val="Normal (Web)"/>
    <w:basedOn w:val="Normal"/>
    <w:uiPriority w:val="99"/>
    <w:unhideWhenUsed w:val="1"/>
    <w:rsid w:val="002A17EA"/>
    <w:pPr>
      <w:spacing w:after="100" w:afterAutospacing="1" w:before="100" w:beforeAutospacing="1"/>
    </w:pPr>
  </w:style>
  <w:style w:type="character" w:styleId="Hipervnculo">
    <w:name w:val="Hyperlink"/>
    <w:basedOn w:val="Fuentedeprrafopredeter"/>
    <w:uiPriority w:val="99"/>
    <w:unhideWhenUsed w:val="1"/>
    <w:rsid w:val="002A17E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290B4E"/>
    <w:rPr>
      <w:color w:val="605e5c"/>
      <w:shd w:color="auto" w:fill="e1dfdd" w:val="clear"/>
    </w:rPr>
  </w:style>
  <w:style w:type="character" w:styleId="apple-tab-span" w:customStyle="1">
    <w:name w:val="apple-tab-span"/>
    <w:basedOn w:val="Fuentedeprrafopredeter"/>
    <w:rsid w:val="005D3A0F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D3A0F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FC03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FC0320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C0320"/>
    <w:rPr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FC032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FC0320"/>
    <w:rPr>
      <w:b w:val="1"/>
      <w:bCs w:val="1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 w:val="1"/>
    <w:rsid w:val="00A11CB0"/>
    <w:rPr>
      <w:b w:val="1"/>
      <w:bCs w:val="1"/>
    </w:rPr>
  </w:style>
  <w:style w:type="table" w:styleId="TableNormal10" w:customStyle="1">
    <w:name w:val="Table Normal10"/>
    <w:rsid w:val="0087625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n">
    <w:name w:val="Revision"/>
    <w:hidden w:val="1"/>
    <w:uiPriority w:val="99"/>
    <w:semiHidden w:val="1"/>
    <w:rsid w:val="0008793B"/>
    <w:rPr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1D4597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1D4597"/>
    <w:rPr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1D4597"/>
    <w:rPr>
      <w:vertAlign w:val="superscript"/>
    </w:rPr>
  </w:style>
  <w:style w:type="paragraph" w:styleId="newsdate" w:customStyle="1">
    <w:name w:val="news_date"/>
    <w:basedOn w:val="Normal"/>
    <w:rsid w:val="003C05D2"/>
    <w:pPr>
      <w:spacing w:after="100" w:afterAutospacing="1" w:before="100" w:beforeAutospacing="1"/>
    </w:pPr>
    <w:rPr>
      <w:lang w:eastAsia="es-ES"/>
    </w:rPr>
  </w:style>
  <w:style w:type="character" w:styleId="nfasis">
    <w:name w:val="Emphasis"/>
    <w:basedOn w:val="Fuentedeprrafopredeter"/>
    <w:uiPriority w:val="20"/>
    <w:qFormat w:val="1"/>
    <w:rsid w:val="003C05D2"/>
    <w:rPr>
      <w:i w:val="1"/>
      <w:iCs w:val="1"/>
    </w:rPr>
  </w:style>
  <w:style w:type="paragraph" w:styleId="Default" w:customStyle="1">
    <w:name w:val="Default"/>
    <w:rsid w:val="00A6351F"/>
    <w:pPr>
      <w:autoSpaceDE w:val="0"/>
      <w:autoSpaceDN w:val="0"/>
      <w:adjustRightInd w:val="0"/>
    </w:pPr>
    <w:rPr>
      <w:rFonts w:ascii="Lucida Sans" w:cs="Lucida Sans" w:hAnsi="Lucida Sans"/>
      <w:color w:val="000000"/>
    </w:rPr>
  </w:style>
  <w:style w:type="paragraph" w:styleId="Prrafodelista">
    <w:name w:val="List Paragraph"/>
    <w:basedOn w:val="Normal"/>
    <w:uiPriority w:val="34"/>
    <w:qFormat w:val="1"/>
    <w:rsid w:val="000C5524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B82BA2"/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B82BA2"/>
    <w:rPr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 w:val="1"/>
    <w:unhideWhenUsed w:val="1"/>
    <w:rsid w:val="00B82BA2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inkedin.com/company/2332225/admin/feed/posts/" TargetMode="External"/><Relationship Id="rId10" Type="http://schemas.openxmlformats.org/officeDocument/2006/relationships/hyperlink" Target="http://www.dia.es" TargetMode="External"/><Relationship Id="rId13" Type="http://schemas.openxmlformats.org/officeDocument/2006/relationships/header" Target="header1.xml"/><Relationship Id="rId12" Type="http://schemas.openxmlformats.org/officeDocument/2006/relationships/hyperlink" Target="mailto:raquel.gonzalez.rodriguez@diagroup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iacorporate.com/wp-content/uploads/2024/03/2024_PES24_Cadadiacuenta_cm.pdf" TargetMode="Externa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nielseniq.com/global/es/news-center/2024/los-hogares-espanoles-incrementaron-un-92-su-gasto-en-bienes-de-consumo-en-2023-segun-el-barometro-del-gasto-en-retail-de-niq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MontserratLight-italic.ttf"/><Relationship Id="rId10" Type="http://schemas.openxmlformats.org/officeDocument/2006/relationships/font" Target="fonts/MontserratLight-bold.ttf"/><Relationship Id="rId12" Type="http://schemas.openxmlformats.org/officeDocument/2006/relationships/font" Target="fonts/MontserratLight-boldItalic.ttf"/><Relationship Id="rId9" Type="http://schemas.openxmlformats.org/officeDocument/2006/relationships/font" Target="fonts/MontserratLight-regular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6.png"/><Relationship Id="rId5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+y260gu2C7TVFFoQ6MS98wrJhg==">CgMxLjA4AHIhMTlNUlM2NWZuRlptbm1qLVpNNmtPVENaZUJHWFFaU19V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2024-05-09T15:50:00Z</dcterms:created>
  <dc:creator>a.rascon</dc:creator>
</cp:coreProperties>
</file>