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4E45" w14:textId="77777777" w:rsidR="00B84067" w:rsidRDefault="00B84067" w:rsidP="0013753E">
      <w:pPr>
        <w:jc w:val="center"/>
        <w:rPr>
          <w:rFonts w:ascii="Century Gothic" w:eastAsia="Century Gothic" w:hAnsi="Century Gothic" w:cs="Century Gothic"/>
          <w:b/>
          <w:color w:val="C55911"/>
          <w:kern w:val="0"/>
          <w:sz w:val="34"/>
          <w:szCs w:val="34"/>
          <w:lang w:eastAsia="es-ES"/>
          <w14:ligatures w14:val="none"/>
        </w:rPr>
      </w:pPr>
    </w:p>
    <w:p w14:paraId="0043C539" w14:textId="06313ECF" w:rsidR="00FB26C7" w:rsidRPr="00681834" w:rsidRDefault="000875F8" w:rsidP="00FB26C7">
      <w:pPr>
        <w:jc w:val="center"/>
        <w:rPr>
          <w:rFonts w:ascii="Century Gothic" w:eastAsia="Century Gothic" w:hAnsi="Century Gothic" w:cs="Century Gothic"/>
          <w:b/>
          <w:color w:val="C55911"/>
          <w:kern w:val="0"/>
          <w:sz w:val="34"/>
          <w:szCs w:val="34"/>
          <w:lang w:eastAsia="es-ES"/>
          <w14:ligatures w14:val="none"/>
        </w:rPr>
      </w:pPr>
      <w:r w:rsidRPr="000875F8">
        <w:rPr>
          <w:rFonts w:ascii="Century Gothic" w:eastAsia="Century Gothic" w:hAnsi="Century Gothic" w:cs="Century Gothic"/>
          <w:b/>
          <w:color w:val="C55911"/>
          <w:kern w:val="0"/>
          <w:sz w:val="34"/>
          <w:szCs w:val="34"/>
          <w:lang w:eastAsia="es-ES"/>
          <w14:ligatures w14:val="none"/>
        </w:rPr>
        <w:t>Desperdicio alimentario en el centro del debate: Phenix analiza las claves de la Estrategia Nacional de Alimentación</w:t>
      </w:r>
    </w:p>
    <w:p w14:paraId="60515792" w14:textId="77777777" w:rsidR="00CB3FEA" w:rsidRDefault="00CB3FEA" w:rsidP="00CB3F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Century Gothic" w:eastAsia="Century Gothic" w:hAnsi="Century Gothic" w:cs="Century Gothic"/>
          <w:i/>
          <w:color w:val="000000"/>
          <w:kern w:val="0"/>
          <w:sz w:val="22"/>
          <w:szCs w:val="22"/>
          <w:lang w:eastAsia="es-ES"/>
          <w14:ligatures w14:val="none"/>
        </w:rPr>
      </w:pPr>
    </w:p>
    <w:p w14:paraId="25A7D8ED" w14:textId="2EE34817" w:rsidR="00681834" w:rsidRDefault="00681834" w:rsidP="00914E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276" w:lineRule="auto"/>
        <w:jc w:val="both"/>
        <w:rPr>
          <w:rFonts w:ascii="Century Gothic" w:eastAsia="Century Gothic" w:hAnsi="Century Gothic" w:cs="Century Gothic"/>
          <w:i/>
          <w:color w:val="000000"/>
          <w:kern w:val="0"/>
          <w:sz w:val="22"/>
          <w:szCs w:val="22"/>
          <w:lang w:eastAsia="es-ES"/>
          <w14:ligatures w14:val="none"/>
        </w:rPr>
      </w:pPr>
      <w:r w:rsidRPr="00681834">
        <w:rPr>
          <w:rFonts w:ascii="Century Gothic" w:eastAsia="Century Gothic" w:hAnsi="Century Gothic" w:cs="Century Gothic"/>
          <w:i/>
          <w:color w:val="000000"/>
          <w:kern w:val="0"/>
          <w:sz w:val="22"/>
          <w:szCs w:val="22"/>
          <w:lang w:eastAsia="es-ES"/>
          <w14:ligatures w14:val="none"/>
        </w:rPr>
        <w:t>En España se desperdician más de 1.200 millones de kilos de alimentos al año, un reto que la Estrategia Nacional de Alimentación busca abordar con acciones clave</w:t>
      </w:r>
    </w:p>
    <w:p w14:paraId="29CBE379" w14:textId="77777777" w:rsidR="0013753E" w:rsidRPr="00681834" w:rsidRDefault="0013753E" w:rsidP="00914E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Century Gothic" w:eastAsia="Century Gothic" w:hAnsi="Century Gothic" w:cs="Century Gothic"/>
          <w:i/>
          <w:color w:val="000000"/>
          <w:kern w:val="0"/>
          <w:sz w:val="22"/>
          <w:szCs w:val="22"/>
          <w:lang w:eastAsia="es-ES"/>
          <w14:ligatures w14:val="none"/>
        </w:rPr>
      </w:pPr>
    </w:p>
    <w:p w14:paraId="3339CE98" w14:textId="77777777" w:rsidR="00681834" w:rsidRPr="00681834" w:rsidRDefault="00681834" w:rsidP="00914E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276" w:lineRule="auto"/>
        <w:jc w:val="both"/>
        <w:rPr>
          <w:rFonts w:ascii="Century Gothic" w:eastAsia="Century Gothic" w:hAnsi="Century Gothic" w:cs="Century Gothic"/>
          <w:i/>
          <w:color w:val="000000"/>
          <w:kern w:val="0"/>
          <w:sz w:val="22"/>
          <w:szCs w:val="22"/>
          <w:lang w:eastAsia="es-ES"/>
          <w14:ligatures w14:val="none"/>
        </w:rPr>
      </w:pPr>
      <w:r w:rsidRPr="00681834">
        <w:rPr>
          <w:rFonts w:ascii="Century Gothic" w:eastAsia="Century Gothic" w:hAnsi="Century Gothic" w:cs="Century Gothic"/>
          <w:i/>
          <w:color w:val="000000"/>
          <w:kern w:val="0"/>
          <w:sz w:val="22"/>
          <w:szCs w:val="22"/>
          <w:lang w:eastAsia="es-ES"/>
          <w14:ligatures w14:val="none"/>
        </w:rPr>
        <w:t>La estrategia contempla diversas iniciativas para reducir el desperdicio alimentario y una de las principales acciones es el impulso de la Ley de Prevención de Pérdidas y Desperdicio Alimentario</w:t>
      </w:r>
    </w:p>
    <w:p w14:paraId="78DCE059" w14:textId="77777777" w:rsidR="00914E27" w:rsidRDefault="00914E27" w:rsidP="00914E27">
      <w:pPr>
        <w:spacing w:after="0"/>
        <w:jc w:val="both"/>
        <w:rPr>
          <w:rFonts w:ascii="Century Gothic" w:eastAsia="Century Gothic" w:hAnsi="Century Gothic" w:cs="Century Gothic"/>
          <w:b/>
          <w:color w:val="C55911"/>
          <w:kern w:val="0"/>
          <w:sz w:val="34"/>
          <w:szCs w:val="34"/>
          <w:lang w:eastAsia="es-ES"/>
          <w14:ligatures w14:val="none"/>
        </w:rPr>
      </w:pPr>
    </w:p>
    <w:p w14:paraId="12885F26" w14:textId="3C8D1296" w:rsidR="001006FC" w:rsidRDefault="001006FC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Madrid, 2</w:t>
      </w:r>
      <w:r w:rsidR="00914E27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6</w:t>
      </w: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 xml:space="preserve"> de febrero de 2025.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 El Gobierno de España ha presentado la nueva Estrategia Nacional de Alimentación (ENA) con el objetivo principal de </w:t>
      </w:r>
      <w:r w:rsidR="00CC3579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mostrar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 </w:t>
      </w:r>
      <w:r w:rsidR="00AC604E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al país</w:t>
      </w:r>
      <w:r w:rsidR="00F06E21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 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como una potencia alimentaria mundial. Esta iniciativa marca un hito importante para el sector, al promover un sistema alimentario más integral, sostenible y competitivo. </w:t>
      </w:r>
    </w:p>
    <w:p w14:paraId="15F8A57F" w14:textId="77777777" w:rsidR="00914E27" w:rsidRPr="001006FC" w:rsidRDefault="00914E27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24EFF3DE" w14:textId="55AFF26C" w:rsidR="005710AB" w:rsidRPr="001006FC" w:rsidRDefault="001006FC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Uno de los pilares fundamentales de la ENA es la </w:t>
      </w: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reducción del desperdicio alimentario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, mediante un enfoque transversal que incluye la prevención, reducción y gestión de pérdidas. Para lograrlo, se deberán implementar soluciones que impulsen un modelo de producción, distribución y consumo más eficiente y sostenible. </w:t>
      </w:r>
    </w:p>
    <w:p w14:paraId="14BBA89A" w14:textId="77777777" w:rsidR="005710AB" w:rsidRDefault="005710AB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4A192B63" w14:textId="4E2FA437" w:rsidR="001006FC" w:rsidRPr="001006FC" w:rsidRDefault="001006FC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En este contexto, </w:t>
      </w:r>
      <w:hyperlink r:id="rId7" w:history="1">
        <w:r w:rsidRPr="001006FC">
          <w:rPr>
            <w:rFonts w:ascii="Open Sans" w:eastAsia="Open Sans" w:hAnsi="Open Sans" w:cs="Open Sans"/>
            <w:color w:val="0070C0"/>
            <w:sz w:val="22"/>
            <w:szCs w:val="22"/>
            <w:u w:val="single"/>
            <w:lang w:eastAsia="es-ES"/>
          </w:rPr>
          <w:t>Phenix</w:t>
        </w:r>
      </w:hyperlink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, empresa líder en la gestión de excedentes alimentarios en España, analiza el reto de la reducción del desperdicio alimentario planteado por la ENA y señala las claves que deben tener en cuenta los </w:t>
      </w:r>
      <w:proofErr w:type="spellStart"/>
      <w:r w:rsidRPr="001006FC">
        <w:rPr>
          <w:rFonts w:ascii="Open Sans" w:eastAsia="Open Sans" w:hAnsi="Open Sans" w:cs="Open Sans"/>
          <w:i/>
          <w:iCs/>
          <w:kern w:val="0"/>
          <w:sz w:val="22"/>
          <w:szCs w:val="22"/>
          <w:lang w:eastAsia="es-ES"/>
          <w14:ligatures w14:val="none"/>
        </w:rPr>
        <w:t>retailers</w:t>
      </w:r>
      <w:proofErr w:type="spellEnd"/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 en el abordaje de esta nueva estrategia: </w:t>
      </w:r>
    </w:p>
    <w:p w14:paraId="0830AB7E" w14:textId="77777777" w:rsidR="005710AB" w:rsidRDefault="005710AB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42A242BE" w14:textId="5CAA3142" w:rsidR="001006FC" w:rsidRPr="001006FC" w:rsidRDefault="001006FC" w:rsidP="005710AB">
      <w:pPr>
        <w:spacing w:after="0"/>
        <w:jc w:val="both"/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Desperdicio alimentario: un reto clave en la nueva estrategia</w:t>
      </w:r>
    </w:p>
    <w:p w14:paraId="07AB753F" w14:textId="77777777" w:rsidR="005710AB" w:rsidRDefault="005710AB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65E73B54" w14:textId="7BEB29B1" w:rsidR="001006FC" w:rsidRPr="001006FC" w:rsidRDefault="001006FC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La ENA contempla el impulso de acciones para reducir el desperdicio alimentario. Una de las principales acciones es el impulso de la aprobación de la </w:t>
      </w: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Ley de Prevención de Pérdidas y Desperdicio Alimentario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, que establecerá un marco regulador para minimizar las pérdidas en cada etapa del proceso. </w:t>
      </w:r>
    </w:p>
    <w:p w14:paraId="24556AB3" w14:textId="77777777" w:rsidR="005710AB" w:rsidRDefault="005710AB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72DBEA37" w14:textId="2B6A33E4" w:rsidR="001006FC" w:rsidRPr="001006FC" w:rsidRDefault="001006FC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lastRenderedPageBreak/>
        <w:t xml:space="preserve">Otro de los puntos claves de la estrategia es promover el </w:t>
      </w: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uso de tecnologías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 para disminuir el desperdicio, como el de nuevas técnicas genómicas en producción vegetal orientadas a la disminución de las partes no consumibles y prolongar la vida útil de los alimentos. </w:t>
      </w:r>
    </w:p>
    <w:p w14:paraId="23CDD7D1" w14:textId="77777777" w:rsidR="005710AB" w:rsidRDefault="005710AB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79B544FA" w14:textId="57BDB4CC" w:rsidR="001006FC" w:rsidRPr="001006FC" w:rsidRDefault="001006FC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También impulsará la creación de una </w:t>
      </w: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plataforma digital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 para optimizar la gestión de excedentes alimentarios, integrando a todos los actores de la cadena y facilitando un flujo estratégico de productos. Esta tecnología busca minimizar el desperdicio al convertir los alimentos en activos dinámicos, permitiendo su redistribución automática según su fecha de caducidad y su potencial de aprovechamiento en distintos destinos.</w:t>
      </w:r>
    </w:p>
    <w:p w14:paraId="0521A831" w14:textId="77777777" w:rsidR="005710AB" w:rsidRDefault="005710AB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3A24148B" w14:textId="0D02E5EA" w:rsidR="001006FC" w:rsidRPr="001006FC" w:rsidRDefault="001006FC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Por último, </w:t>
      </w:r>
      <w:r w:rsidR="00EA0FEB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la estrategia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 </w:t>
      </w:r>
      <w:r w:rsidR="007443FF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busca promover 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la </w:t>
      </w: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inversión en comercio online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 </w:t>
      </w:r>
      <w:r w:rsidR="006866D9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del </w:t>
      </w:r>
      <w:r w:rsidR="006866D9" w:rsidRPr="001F0A59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Retail</w:t>
      </w:r>
      <w:r w:rsidR="006866D9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 </w:t>
      </w:r>
      <w:r w:rsidR="002A6AB7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como medida de desarrollo de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 nuevas </w:t>
      </w:r>
      <w:r w:rsidR="001F0A59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formas 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de </w:t>
      </w:r>
      <w:proofErr w:type="spellStart"/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packaging</w:t>
      </w:r>
      <w:proofErr w:type="spellEnd"/>
      <w:r w:rsidR="002A6AB7" w:rsidRPr="002A6AB7">
        <w:rPr>
          <w:rFonts w:ascii="Open Sans" w:eastAsia="Open Sans" w:hAnsi="Open Sans" w:cs="Open Sans"/>
          <w:i/>
          <w:iCs/>
          <w:kern w:val="0"/>
          <w:sz w:val="22"/>
          <w:szCs w:val="22"/>
          <w:lang w:eastAsia="es-ES"/>
          <w14:ligatures w14:val="none"/>
        </w:rPr>
        <w:t xml:space="preserve"> </w:t>
      </w:r>
      <w:r w:rsidR="002A6AB7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que eviten el desperdicio. </w:t>
      </w:r>
    </w:p>
    <w:p w14:paraId="79232B75" w14:textId="77777777" w:rsidR="005710AB" w:rsidRDefault="005710AB" w:rsidP="005710AB">
      <w:pPr>
        <w:spacing w:after="0"/>
        <w:jc w:val="both"/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</w:pPr>
    </w:p>
    <w:p w14:paraId="1534FDBA" w14:textId="40E3AAFB" w:rsidR="001006FC" w:rsidRPr="001006FC" w:rsidRDefault="001006FC" w:rsidP="005710AB">
      <w:pPr>
        <w:spacing w:after="0"/>
        <w:jc w:val="both"/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Phenix, socio estratégico en la prevención y reducción del desperdicio alimentario</w:t>
      </w:r>
    </w:p>
    <w:p w14:paraId="2546E274" w14:textId="77777777" w:rsidR="005710AB" w:rsidRDefault="005710AB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2CF68B42" w14:textId="55472442" w:rsidR="001006FC" w:rsidRPr="001006FC" w:rsidRDefault="001006FC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El desperdicio alimentario es un problema global que afecta tanto a la economía como al medioambiente. En España, se estima que </w:t>
      </w: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cada año se desperdician más de 1.200 millones de kilos de alimentos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, lo que supone una pérdida de recursos y un impacto negativo en la sostenibilidad. La Estrategia Nacional de Alimentación incluye iniciativas para mejorar la gestión de excedentes y prevenir las pérdidas en toda la cadena de suministro, un enfoque que se alinea con el trabajo que Phenix lleva desarrollando en los últimos años. </w:t>
      </w:r>
    </w:p>
    <w:p w14:paraId="21DE2ED5" w14:textId="77777777" w:rsidR="005710AB" w:rsidRDefault="005710AB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09492FC8" w14:textId="773E08A2" w:rsidR="001006FC" w:rsidRPr="001006FC" w:rsidRDefault="001006FC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 xml:space="preserve">Phenix 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se ha consolidado como uno de los aliados estratégicos en la lucha contra el desperdicio alimentario mediante soluciones que facilitan la </w:t>
      </w: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optimización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 y la redistribución de excedentes. La compañía ha desarrollado iniciativas que ayudan a proporcionar mayor control sobre el excedente en los puntos de venta, y poder prevenir y reducir el desperdicio alimentario, generando así un impacto positivo en la sociedad, el medioambiente, y en las cuentas de resultados de sus clientes.</w:t>
      </w:r>
    </w:p>
    <w:p w14:paraId="0CA39733" w14:textId="77777777" w:rsidR="005710AB" w:rsidRDefault="005710AB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57BAC619" w14:textId="63B75E25" w:rsidR="001006FC" w:rsidRPr="001006FC" w:rsidRDefault="001006FC" w:rsidP="005710AB">
      <w:pPr>
        <w:spacing w:after="0"/>
        <w:jc w:val="both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“</w:t>
      </w:r>
      <w:r w:rsidRPr="001006FC">
        <w:rPr>
          <w:rFonts w:ascii="Open Sans" w:eastAsia="Open Sans" w:hAnsi="Open Sans" w:cs="Open Sans"/>
          <w:i/>
          <w:iCs/>
          <w:kern w:val="0"/>
          <w:sz w:val="22"/>
          <w:szCs w:val="22"/>
          <w:lang w:eastAsia="es-ES"/>
          <w14:ligatures w14:val="none"/>
        </w:rPr>
        <w:t xml:space="preserve">La aprobación de estas medidas supone un gran paso adelante en la lucha contra el desperdicio alimentario en España. En Phenix, llevamos años demostrando que la tecnología y la colaboración son clave para reducir la pérdida de alimentos y fomentar un consumo responsable. Nos alegra ver que esta visión se integra ahora en la Estrategia </w:t>
      </w:r>
      <w:r w:rsidRPr="001006FC">
        <w:rPr>
          <w:rFonts w:ascii="Open Sans" w:eastAsia="Open Sans" w:hAnsi="Open Sans" w:cs="Open Sans"/>
          <w:i/>
          <w:iCs/>
          <w:kern w:val="0"/>
          <w:sz w:val="22"/>
          <w:szCs w:val="22"/>
          <w:lang w:eastAsia="es-ES"/>
          <w14:ligatures w14:val="none"/>
        </w:rPr>
        <w:lastRenderedPageBreak/>
        <w:t>Nacional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 xml:space="preserve">”, señala </w:t>
      </w:r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 xml:space="preserve">Jean-Baptiste </w:t>
      </w:r>
      <w:proofErr w:type="spellStart"/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Boubault</w:t>
      </w:r>
      <w:proofErr w:type="spellEnd"/>
      <w:r w:rsidRPr="001006FC">
        <w:rPr>
          <w:rFonts w:ascii="Open Sans" w:eastAsia="Open Sans" w:hAnsi="Open Sans" w:cs="Open Sans"/>
          <w:b/>
          <w:bCs/>
          <w:kern w:val="0"/>
          <w:sz w:val="22"/>
          <w:szCs w:val="22"/>
          <w:lang w:eastAsia="es-ES"/>
          <w14:ligatures w14:val="none"/>
        </w:rPr>
        <w:t>, Country Manager de Phenix en España</w:t>
      </w: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.</w:t>
      </w:r>
    </w:p>
    <w:p w14:paraId="75AE5BAC" w14:textId="7D794AF3" w:rsidR="009D6F42" w:rsidRDefault="001006FC" w:rsidP="001F0A59">
      <w:pPr>
        <w:jc w:val="center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1006FC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-FIN   -</w:t>
      </w:r>
    </w:p>
    <w:p w14:paraId="78CCBBF6" w14:textId="26123916" w:rsidR="0057392F" w:rsidRDefault="009D6F42" w:rsidP="005710AB">
      <w:pPr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  <w:r w:rsidRPr="009D6F42"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  <w:t>***</w:t>
      </w:r>
    </w:p>
    <w:p w14:paraId="1FDF80AD" w14:textId="7070FCF7" w:rsidR="009D6F42" w:rsidRPr="009D6F42" w:rsidRDefault="009D6F42" w:rsidP="004C7988">
      <w:pPr>
        <w:spacing w:after="0" w:line="240" w:lineRule="auto"/>
        <w:rPr>
          <w:rFonts w:ascii="Calibri" w:eastAsia="Calibri" w:hAnsi="Calibri" w:cs="Calibri"/>
          <w:b/>
          <w:kern w:val="0"/>
          <w:sz w:val="18"/>
          <w:szCs w:val="18"/>
          <w:lang w:eastAsia="es-ES"/>
          <w14:ligatures w14:val="none"/>
        </w:rPr>
      </w:pPr>
      <w:r w:rsidRPr="009D6F42">
        <w:rPr>
          <w:rFonts w:ascii="Calibri" w:eastAsia="Calibri" w:hAnsi="Calibri" w:cs="Calibri"/>
          <w:b/>
          <w:kern w:val="0"/>
          <w:sz w:val="18"/>
          <w:szCs w:val="18"/>
          <w:lang w:eastAsia="es-ES"/>
          <w14:ligatures w14:val="none"/>
        </w:rPr>
        <w:t>Sobre Phenix</w:t>
      </w:r>
    </w:p>
    <w:p w14:paraId="3F74B871" w14:textId="6CB834D4" w:rsidR="009D6F42" w:rsidRPr="009D6F42" w:rsidRDefault="009D6F42" w:rsidP="00513875">
      <w:pPr>
        <w:jc w:val="both"/>
        <w:rPr>
          <w:rFonts w:ascii="Century Gothic" w:eastAsia="Century Gothic" w:hAnsi="Century Gothic" w:cs="Century Gothic"/>
          <w:i/>
          <w:kern w:val="0"/>
          <w:sz w:val="16"/>
          <w:szCs w:val="16"/>
          <w:lang w:eastAsia="es-ES"/>
          <w14:ligatures w14:val="none"/>
        </w:rPr>
      </w:pPr>
      <w:r w:rsidRPr="009D6F42">
        <w:rPr>
          <w:rFonts w:ascii="Century Gothic" w:eastAsia="Century Gothic" w:hAnsi="Century Gothic" w:cs="Century Gothic"/>
          <w:i/>
          <w:kern w:val="0"/>
          <w:sz w:val="16"/>
          <w:szCs w:val="16"/>
          <w:lang w:eastAsia="es-ES"/>
          <w14:ligatures w14:val="none"/>
        </w:rPr>
        <w:t xml:space="preserve">Phenix es una empresa especializada en maximizar el valor del excedente en el sector retail alimentario en España. A través de una gestión eficiente, ayuda a las empresas a convertir el excedente en una fuente de rentabilidad, mientras reduce significativamente el desperdicio alimentario y fomenta un impacto positivo en la sociedad y el medio ambiente. Nació en el 2014, en Francia, con una misión muy clara: reducir el desperdicio alimentario, un problema con un grave impacto económico, social y medioambiental a nivel mundial. Actualmente, es líder en el mercado francés y está en plena consolidación en España y Portugal. La empresa cuenta con más de 200 empleados en total. Phenix está certificada como B </w:t>
      </w:r>
      <w:proofErr w:type="spellStart"/>
      <w:r w:rsidRPr="009D6F42">
        <w:rPr>
          <w:rFonts w:ascii="Century Gothic" w:eastAsia="Century Gothic" w:hAnsi="Century Gothic" w:cs="Century Gothic"/>
          <w:i/>
          <w:kern w:val="0"/>
          <w:sz w:val="16"/>
          <w:szCs w:val="16"/>
          <w:lang w:eastAsia="es-ES"/>
          <w14:ligatures w14:val="none"/>
        </w:rPr>
        <w:t>Corporation</w:t>
      </w:r>
      <w:proofErr w:type="spellEnd"/>
      <w:r w:rsidRPr="009D6F42">
        <w:rPr>
          <w:rFonts w:ascii="Century Gothic" w:eastAsia="Century Gothic" w:hAnsi="Century Gothic" w:cs="Century Gothic"/>
          <w:i/>
          <w:kern w:val="0"/>
          <w:sz w:val="16"/>
          <w:szCs w:val="16"/>
          <w:lang w:eastAsia="es-ES"/>
          <w14:ligatures w14:val="none"/>
        </w:rPr>
        <w:t>, mostrando su compromiso con la sociedad y el medioambiente.</w:t>
      </w:r>
    </w:p>
    <w:p w14:paraId="7BD4920D" w14:textId="77777777" w:rsidR="009D6F42" w:rsidRPr="009D6F42" w:rsidRDefault="009D6F42" w:rsidP="00B85516">
      <w:pPr>
        <w:spacing w:after="0" w:line="240" w:lineRule="auto"/>
        <w:jc w:val="both"/>
        <w:rPr>
          <w:rFonts w:ascii="Century Gothic" w:eastAsia="Century Gothic" w:hAnsi="Century Gothic" w:cs="Century Gothic"/>
          <w:i/>
          <w:kern w:val="0"/>
          <w:sz w:val="16"/>
          <w:szCs w:val="16"/>
          <w:lang w:eastAsia="es-ES"/>
          <w14:ligatures w14:val="none"/>
        </w:rPr>
      </w:pPr>
      <w:r w:rsidRPr="009D6F42">
        <w:rPr>
          <w:rFonts w:ascii="Century Gothic" w:eastAsia="Century Gothic" w:hAnsi="Century Gothic" w:cs="Century Gothic"/>
          <w:i/>
          <w:kern w:val="0"/>
          <w:sz w:val="16"/>
          <w:szCs w:val="16"/>
          <w:lang w:eastAsia="es-ES"/>
          <w14:ligatures w14:val="none"/>
        </w:rPr>
        <w:t>Para más información: https://www.wearephenix.com/es/</w:t>
      </w:r>
    </w:p>
    <w:p w14:paraId="1DEC77E8" w14:textId="77777777" w:rsidR="009D6F42" w:rsidRPr="009D6F42" w:rsidRDefault="009D6F42" w:rsidP="00513875">
      <w:pPr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13C0D1C8" w14:textId="77777777" w:rsidR="009D6F42" w:rsidRPr="009D6F42" w:rsidRDefault="009D6F42" w:rsidP="007F032B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0"/>
          <w:szCs w:val="20"/>
          <w:lang w:eastAsia="es-ES"/>
          <w14:ligatures w14:val="none"/>
        </w:rPr>
      </w:pPr>
      <w:r w:rsidRPr="009D6F42">
        <w:rPr>
          <w:rFonts w:ascii="Calibri" w:eastAsia="Calibri" w:hAnsi="Calibri" w:cs="Calibri"/>
          <w:b/>
          <w:kern w:val="0"/>
          <w:sz w:val="20"/>
          <w:szCs w:val="20"/>
          <w:lang w:eastAsia="es-ES"/>
          <w14:ligatures w14:val="none"/>
        </w:rPr>
        <w:t>Contacto para la prensa:</w:t>
      </w:r>
    </w:p>
    <w:p w14:paraId="673C989B" w14:textId="77777777" w:rsidR="009D6F42" w:rsidRPr="009D6F42" w:rsidRDefault="009D6F42" w:rsidP="009D6F42">
      <w:pPr>
        <w:jc w:val="center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1AB75FEE" w14:textId="77777777" w:rsidR="009D6F42" w:rsidRPr="009D6F42" w:rsidRDefault="009D6F42" w:rsidP="00ED4C83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0"/>
          <w:szCs w:val="20"/>
          <w:lang w:eastAsia="es-ES"/>
          <w14:ligatures w14:val="none"/>
        </w:rPr>
      </w:pPr>
      <w:r w:rsidRPr="009D6F42">
        <w:rPr>
          <w:rFonts w:ascii="Calibri" w:eastAsia="Calibri" w:hAnsi="Calibri" w:cs="Calibri"/>
          <w:b/>
          <w:kern w:val="0"/>
          <w:sz w:val="20"/>
          <w:szCs w:val="20"/>
          <w:lang w:eastAsia="es-ES"/>
          <w14:ligatures w14:val="none"/>
        </w:rPr>
        <w:t xml:space="preserve">Marina Gascón Martínez de Quel </w:t>
      </w:r>
    </w:p>
    <w:p w14:paraId="07E7FD57" w14:textId="77777777" w:rsidR="009D6F42" w:rsidRPr="009D6F42" w:rsidRDefault="009D6F42" w:rsidP="00ED4C83">
      <w:pPr>
        <w:spacing w:after="0" w:line="240" w:lineRule="auto"/>
        <w:jc w:val="right"/>
        <w:rPr>
          <w:rFonts w:ascii="Calibri" w:eastAsia="Calibri" w:hAnsi="Calibri" w:cs="Calibri"/>
          <w:bCs/>
          <w:kern w:val="0"/>
          <w:sz w:val="20"/>
          <w:szCs w:val="20"/>
          <w:lang w:eastAsia="es-ES"/>
          <w14:ligatures w14:val="none"/>
        </w:rPr>
      </w:pPr>
      <w:r w:rsidRPr="009D6F42">
        <w:rPr>
          <w:rFonts w:ascii="Calibri" w:eastAsia="Calibri" w:hAnsi="Calibri" w:cs="Calibri"/>
          <w:bCs/>
          <w:kern w:val="0"/>
          <w:sz w:val="20"/>
          <w:szCs w:val="20"/>
          <w:lang w:eastAsia="es-ES"/>
          <w14:ligatures w14:val="none"/>
        </w:rPr>
        <w:t xml:space="preserve">marina.gascon@newlink-group.com </w:t>
      </w:r>
    </w:p>
    <w:p w14:paraId="69EE97D8" w14:textId="77777777" w:rsidR="009D6F42" w:rsidRPr="009D6F42" w:rsidRDefault="009D6F42" w:rsidP="00ED4C83">
      <w:pPr>
        <w:spacing w:after="0" w:line="240" w:lineRule="auto"/>
        <w:jc w:val="right"/>
        <w:rPr>
          <w:rFonts w:ascii="Calibri" w:eastAsia="Calibri" w:hAnsi="Calibri" w:cs="Calibri"/>
          <w:bCs/>
          <w:kern w:val="0"/>
          <w:sz w:val="20"/>
          <w:szCs w:val="20"/>
          <w:lang w:eastAsia="es-ES"/>
          <w14:ligatures w14:val="none"/>
        </w:rPr>
      </w:pPr>
      <w:r w:rsidRPr="009D6F42">
        <w:rPr>
          <w:rFonts w:ascii="Calibri" w:eastAsia="Calibri" w:hAnsi="Calibri" w:cs="Calibri"/>
          <w:bCs/>
          <w:kern w:val="0"/>
          <w:sz w:val="20"/>
          <w:szCs w:val="20"/>
          <w:lang w:eastAsia="es-ES"/>
          <w14:ligatures w14:val="none"/>
        </w:rPr>
        <w:t xml:space="preserve">+ 34 651 963 459 </w:t>
      </w:r>
    </w:p>
    <w:p w14:paraId="01441DE0" w14:textId="77777777" w:rsidR="009D6F42" w:rsidRPr="009D6F42" w:rsidRDefault="009D6F42" w:rsidP="00ED4C83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0"/>
          <w:szCs w:val="20"/>
          <w:lang w:eastAsia="es-ES"/>
          <w14:ligatures w14:val="none"/>
        </w:rPr>
      </w:pPr>
    </w:p>
    <w:p w14:paraId="2D3ADD23" w14:textId="77777777" w:rsidR="009D6F42" w:rsidRPr="009D6F42" w:rsidRDefault="009D6F42" w:rsidP="00ED4C83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0"/>
          <w:szCs w:val="20"/>
          <w:lang w:eastAsia="es-ES"/>
          <w14:ligatures w14:val="none"/>
        </w:rPr>
      </w:pPr>
      <w:r w:rsidRPr="009D6F42">
        <w:rPr>
          <w:rFonts w:ascii="Calibri" w:eastAsia="Calibri" w:hAnsi="Calibri" w:cs="Calibri"/>
          <w:b/>
          <w:kern w:val="0"/>
          <w:sz w:val="20"/>
          <w:szCs w:val="20"/>
          <w:lang w:eastAsia="es-ES"/>
          <w14:ligatures w14:val="none"/>
        </w:rPr>
        <w:t>María Sánchez-Girón</w:t>
      </w:r>
    </w:p>
    <w:p w14:paraId="46425B7C" w14:textId="77777777" w:rsidR="009D6F42" w:rsidRPr="009D6F42" w:rsidRDefault="009D6F42" w:rsidP="00ED4C83">
      <w:pPr>
        <w:spacing w:after="0" w:line="240" w:lineRule="auto"/>
        <w:jc w:val="right"/>
        <w:rPr>
          <w:rFonts w:ascii="Calibri" w:eastAsia="Calibri" w:hAnsi="Calibri" w:cs="Calibri"/>
          <w:bCs/>
          <w:kern w:val="0"/>
          <w:sz w:val="20"/>
          <w:szCs w:val="20"/>
          <w:lang w:eastAsia="es-ES"/>
          <w14:ligatures w14:val="none"/>
        </w:rPr>
      </w:pPr>
      <w:r w:rsidRPr="009D6F42">
        <w:rPr>
          <w:rFonts w:ascii="Calibri" w:eastAsia="Calibri" w:hAnsi="Calibri" w:cs="Calibri"/>
          <w:bCs/>
          <w:kern w:val="0"/>
          <w:sz w:val="20"/>
          <w:szCs w:val="20"/>
          <w:lang w:eastAsia="es-ES"/>
          <w14:ligatures w14:val="none"/>
        </w:rPr>
        <w:t>maria.sanchez-giron@newlink-group.com</w:t>
      </w:r>
    </w:p>
    <w:p w14:paraId="7ABC8C3B" w14:textId="77777777" w:rsidR="009D6F42" w:rsidRPr="009D6F42" w:rsidRDefault="009D6F42" w:rsidP="00ED4C83">
      <w:pPr>
        <w:spacing w:after="0" w:line="240" w:lineRule="auto"/>
        <w:jc w:val="right"/>
        <w:rPr>
          <w:rFonts w:ascii="Calibri" w:eastAsia="Calibri" w:hAnsi="Calibri" w:cs="Calibri"/>
          <w:bCs/>
          <w:kern w:val="0"/>
          <w:sz w:val="20"/>
          <w:szCs w:val="20"/>
          <w:lang w:eastAsia="es-ES"/>
          <w14:ligatures w14:val="none"/>
        </w:rPr>
      </w:pPr>
      <w:r w:rsidRPr="009D6F42">
        <w:rPr>
          <w:rFonts w:ascii="Calibri" w:eastAsia="Calibri" w:hAnsi="Calibri" w:cs="Calibri"/>
          <w:bCs/>
          <w:kern w:val="0"/>
          <w:sz w:val="20"/>
          <w:szCs w:val="20"/>
          <w:lang w:eastAsia="es-ES"/>
          <w14:ligatures w14:val="none"/>
        </w:rPr>
        <w:t>+34 653 125 545</w:t>
      </w:r>
    </w:p>
    <w:p w14:paraId="3CCCBD3C" w14:textId="77777777" w:rsidR="009D6F42" w:rsidRPr="001006FC" w:rsidRDefault="009D6F42" w:rsidP="009D6F42">
      <w:pPr>
        <w:jc w:val="center"/>
        <w:rPr>
          <w:rFonts w:ascii="Open Sans" w:eastAsia="Open Sans" w:hAnsi="Open Sans" w:cs="Open Sans"/>
          <w:kern w:val="0"/>
          <w:sz w:val="22"/>
          <w:szCs w:val="22"/>
          <w:lang w:eastAsia="es-ES"/>
          <w14:ligatures w14:val="none"/>
        </w:rPr>
      </w:pPr>
    </w:p>
    <w:p w14:paraId="00C9FAD4" w14:textId="77777777" w:rsidR="001006FC" w:rsidRPr="000875F8" w:rsidRDefault="001006FC" w:rsidP="001006FC">
      <w:pPr>
        <w:jc w:val="both"/>
        <w:rPr>
          <w:rFonts w:ascii="Century Gothic" w:eastAsia="Century Gothic" w:hAnsi="Century Gothic" w:cs="Century Gothic"/>
          <w:b/>
          <w:color w:val="C55911"/>
          <w:kern w:val="0"/>
          <w:sz w:val="34"/>
          <w:szCs w:val="34"/>
          <w:lang w:eastAsia="es-ES"/>
          <w14:ligatures w14:val="none"/>
        </w:rPr>
      </w:pPr>
    </w:p>
    <w:p w14:paraId="717C196F" w14:textId="77777777" w:rsidR="001F172C" w:rsidRDefault="001F172C"/>
    <w:sectPr w:rsidR="001F172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59DA" w14:textId="77777777" w:rsidR="000875F8" w:rsidRDefault="000875F8" w:rsidP="000875F8">
      <w:pPr>
        <w:spacing w:after="0" w:line="240" w:lineRule="auto"/>
      </w:pPr>
      <w:r>
        <w:separator/>
      </w:r>
    </w:p>
  </w:endnote>
  <w:endnote w:type="continuationSeparator" w:id="0">
    <w:p w14:paraId="2BC01948" w14:textId="77777777" w:rsidR="000875F8" w:rsidRDefault="000875F8" w:rsidP="0008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F053" w14:textId="77777777" w:rsidR="000875F8" w:rsidRDefault="000875F8" w:rsidP="000875F8">
      <w:pPr>
        <w:spacing w:after="0" w:line="240" w:lineRule="auto"/>
      </w:pPr>
      <w:r>
        <w:separator/>
      </w:r>
    </w:p>
  </w:footnote>
  <w:footnote w:type="continuationSeparator" w:id="0">
    <w:p w14:paraId="0E0ED195" w14:textId="77777777" w:rsidR="000875F8" w:rsidRDefault="000875F8" w:rsidP="0008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699E" w14:textId="5E000520" w:rsidR="000875F8" w:rsidRDefault="000875F8" w:rsidP="000875F8">
    <w:pPr>
      <w:pStyle w:val="Encabezado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08D3019A" wp14:editId="6BA96E79">
          <wp:extent cx="1578610" cy="621030"/>
          <wp:effectExtent l="0" t="0" r="2540" b="7620"/>
          <wp:docPr id="149695176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9A1"/>
    <w:multiLevelType w:val="multilevel"/>
    <w:tmpl w:val="4C28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20318"/>
    <w:multiLevelType w:val="multilevel"/>
    <w:tmpl w:val="CB4A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632899">
    <w:abstractNumId w:val="0"/>
  </w:num>
  <w:num w:numId="2" w16cid:durableId="212719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0C"/>
    <w:rsid w:val="000875F8"/>
    <w:rsid w:val="001006FC"/>
    <w:rsid w:val="001104C5"/>
    <w:rsid w:val="0013753E"/>
    <w:rsid w:val="00144396"/>
    <w:rsid w:val="001443B8"/>
    <w:rsid w:val="001C2F76"/>
    <w:rsid w:val="001F0A59"/>
    <w:rsid w:val="001F172C"/>
    <w:rsid w:val="00251C9F"/>
    <w:rsid w:val="002A6AB7"/>
    <w:rsid w:val="00327D15"/>
    <w:rsid w:val="00356937"/>
    <w:rsid w:val="00456726"/>
    <w:rsid w:val="004B2CAA"/>
    <w:rsid w:val="004C7988"/>
    <w:rsid w:val="00513875"/>
    <w:rsid w:val="005710AB"/>
    <w:rsid w:val="0057392F"/>
    <w:rsid w:val="00681834"/>
    <w:rsid w:val="006866D9"/>
    <w:rsid w:val="00736510"/>
    <w:rsid w:val="00736A59"/>
    <w:rsid w:val="007443FF"/>
    <w:rsid w:val="007F032B"/>
    <w:rsid w:val="008534B6"/>
    <w:rsid w:val="008F7106"/>
    <w:rsid w:val="00914E27"/>
    <w:rsid w:val="009D6F42"/>
    <w:rsid w:val="00AC604E"/>
    <w:rsid w:val="00B84067"/>
    <w:rsid w:val="00B85516"/>
    <w:rsid w:val="00BA40D4"/>
    <w:rsid w:val="00CB3FEA"/>
    <w:rsid w:val="00CC3579"/>
    <w:rsid w:val="00D27D7C"/>
    <w:rsid w:val="00E8390C"/>
    <w:rsid w:val="00EA0FEB"/>
    <w:rsid w:val="00ED4C83"/>
    <w:rsid w:val="00F06E21"/>
    <w:rsid w:val="00F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B13D"/>
  <w15:chartTrackingRefBased/>
  <w15:docId w15:val="{445A4353-FB5B-4711-AE3B-EB1E3F19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3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9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9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9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9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9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9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39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39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39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9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390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87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5F8"/>
  </w:style>
  <w:style w:type="paragraph" w:styleId="Piedepgina">
    <w:name w:val="footer"/>
    <w:basedOn w:val="Normal"/>
    <w:link w:val="PiedepginaCar"/>
    <w:uiPriority w:val="99"/>
    <w:unhideWhenUsed/>
    <w:rsid w:val="00087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5F8"/>
  </w:style>
  <w:style w:type="character" w:styleId="Hipervnculo">
    <w:name w:val="Hyperlink"/>
    <w:basedOn w:val="Fuentedeprrafopredeter"/>
    <w:uiPriority w:val="99"/>
    <w:unhideWhenUsed/>
    <w:rsid w:val="001006F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0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arephenix.com/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808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Sánchez-Girón</dc:creator>
  <cp:keywords/>
  <dc:description/>
  <cp:lastModifiedBy>María Sánchez-Girón</cp:lastModifiedBy>
  <cp:revision>38</cp:revision>
  <dcterms:created xsi:type="dcterms:W3CDTF">2025-02-26T08:28:00Z</dcterms:created>
  <dcterms:modified xsi:type="dcterms:W3CDTF">2025-02-26T09:00:00Z</dcterms:modified>
</cp:coreProperties>
</file>