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E540" w14:textId="77777777" w:rsidR="001F172C" w:rsidRDefault="001F172C"/>
    <w:p w14:paraId="75979649" w14:textId="77777777" w:rsidR="00385404" w:rsidRPr="00385404" w:rsidRDefault="00385404" w:rsidP="00385404"/>
    <w:p w14:paraId="0DBF365E" w14:textId="77777777" w:rsidR="00385404" w:rsidRDefault="00385404" w:rsidP="00385404">
      <w:pPr>
        <w:jc w:val="center"/>
        <w:rPr>
          <w:rFonts w:ascii="Century Gothic" w:eastAsia="Century Gothic" w:hAnsi="Century Gothic" w:cs="Century Gothic"/>
          <w:b/>
          <w:color w:val="C55911"/>
          <w:sz w:val="34"/>
          <w:szCs w:val="34"/>
        </w:rPr>
      </w:pPr>
      <w:r>
        <w:rPr>
          <w:rFonts w:ascii="Century Gothic" w:eastAsia="Century Gothic" w:hAnsi="Century Gothic" w:cs="Century Gothic"/>
          <w:b/>
          <w:color w:val="C55911"/>
          <w:sz w:val="34"/>
          <w:szCs w:val="34"/>
        </w:rPr>
        <w:t xml:space="preserve">Phenix e iDavinci se alían para impulsar </w:t>
      </w:r>
    </w:p>
    <w:p w14:paraId="7B955B08" w14:textId="77777777" w:rsidR="00385404" w:rsidRDefault="00385404" w:rsidP="00385404">
      <w:pPr>
        <w:jc w:val="center"/>
        <w:rPr>
          <w:rFonts w:ascii="Century Gothic" w:eastAsia="Century Gothic" w:hAnsi="Century Gothic" w:cs="Century Gothic"/>
          <w:b/>
          <w:color w:val="C55911"/>
          <w:sz w:val="34"/>
          <w:szCs w:val="34"/>
        </w:rPr>
      </w:pPr>
      <w:r>
        <w:rPr>
          <w:rFonts w:ascii="Century Gothic" w:eastAsia="Century Gothic" w:hAnsi="Century Gothic" w:cs="Century Gothic"/>
          <w:b/>
          <w:color w:val="C55911"/>
          <w:sz w:val="34"/>
          <w:szCs w:val="34"/>
        </w:rPr>
        <w:t>la innovación en la gran distribución alimentaria</w:t>
      </w:r>
    </w:p>
    <w:p w14:paraId="2BD24C86" w14:textId="77777777" w:rsidR="00385404" w:rsidRDefault="00385404" w:rsidP="00385404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DCE8C05" w14:textId="77777777" w:rsidR="00385404" w:rsidRDefault="00385404" w:rsidP="00385404">
      <w:pPr>
        <w:jc w:val="both"/>
        <w:rPr>
          <w:rFonts w:ascii="Century Gothic" w:eastAsia="Century Gothic" w:hAnsi="Century Gothic" w:cs="Century Gothic"/>
          <w:i/>
          <w:sz w:val="20"/>
          <w:szCs w:val="20"/>
        </w:rPr>
      </w:pPr>
    </w:p>
    <w:p w14:paraId="37DE5F67" w14:textId="77777777" w:rsidR="00385404" w:rsidRDefault="00385404" w:rsidP="00385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000000"/>
        </w:rPr>
      </w:pPr>
      <w:r>
        <w:rPr>
          <w:rFonts w:ascii="Century Gothic" w:eastAsia="Century Gothic" w:hAnsi="Century Gothic" w:cs="Century Gothic"/>
          <w:i/>
          <w:color w:val="000000"/>
        </w:rPr>
        <w:t xml:space="preserve">La alianza nace para ayudar a las empresas de la industria </w:t>
      </w:r>
      <w:r>
        <w:rPr>
          <w:rFonts w:ascii="Century Gothic" w:eastAsia="Century Gothic" w:hAnsi="Century Gothic" w:cs="Century Gothic"/>
          <w:i/>
        </w:rPr>
        <w:t xml:space="preserve">y la gran distribución </w:t>
      </w:r>
      <w:r>
        <w:rPr>
          <w:rFonts w:ascii="Century Gothic" w:eastAsia="Century Gothic" w:hAnsi="Century Gothic" w:cs="Century Gothic"/>
          <w:i/>
          <w:color w:val="000000"/>
        </w:rPr>
        <w:t>alimentaria a maximizar la rentabilidad de sus proyectos de innovación en el ámbito de la sostenibilidad y la economía circular</w:t>
      </w:r>
    </w:p>
    <w:p w14:paraId="68FEC61C" w14:textId="77777777" w:rsidR="00385404" w:rsidRDefault="00385404" w:rsidP="0038540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Gothic" w:eastAsia="Century Gothic" w:hAnsi="Century Gothic" w:cs="Century Gothic"/>
          <w:i/>
          <w:color w:val="000000"/>
        </w:rPr>
      </w:pPr>
    </w:p>
    <w:p w14:paraId="11031C42" w14:textId="77777777" w:rsidR="00385404" w:rsidRDefault="00385404" w:rsidP="00385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i/>
          <w:color w:val="000000"/>
        </w:rPr>
      </w:pPr>
      <w:r>
        <w:rPr>
          <w:rFonts w:ascii="Century Gothic" w:eastAsia="Century Gothic" w:hAnsi="Century Gothic" w:cs="Century Gothic"/>
          <w:i/>
          <w:color w:val="000000"/>
        </w:rPr>
        <w:t>A través de esta colaboración, se facilitará el acceso a la financiación de proyectos innovadores y sostenibles</w:t>
      </w:r>
    </w:p>
    <w:p w14:paraId="3F5FBBA9" w14:textId="77777777" w:rsidR="00385404" w:rsidRDefault="00385404" w:rsidP="00385404">
      <w:pPr>
        <w:spacing w:before="24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Madrid, 18 de febrero de 2025 — </w:t>
      </w:r>
      <w:hyperlink r:id="rId7">
        <w:r>
          <w:rPr>
            <w:rFonts w:ascii="Century Gothic" w:eastAsia="Century Gothic" w:hAnsi="Century Gothic" w:cs="Century Gothic"/>
            <w:b/>
            <w:color w:val="467886"/>
            <w:u w:val="single"/>
          </w:rPr>
          <w:t>Phenix</w:t>
        </w:r>
      </w:hyperlink>
      <w:r>
        <w:rPr>
          <w:rFonts w:ascii="Century Gothic" w:eastAsia="Century Gothic" w:hAnsi="Century Gothic" w:cs="Century Gothic"/>
        </w:rPr>
        <w:t xml:space="preserve">, empresa líder en la gestión de excedentes, e </w:t>
      </w:r>
      <w:r>
        <w:rPr>
          <w:rFonts w:ascii="Century Gothic" w:eastAsia="Century Gothic" w:hAnsi="Century Gothic" w:cs="Century Gothic"/>
          <w:b/>
        </w:rPr>
        <w:t>iDavinci</w:t>
      </w:r>
      <w:r>
        <w:rPr>
          <w:rFonts w:ascii="Century Gothic" w:eastAsia="Century Gothic" w:hAnsi="Century Gothic" w:cs="Century Gothic"/>
        </w:rPr>
        <w:t xml:space="preserve">, consultora de referencia en financiación de proyectos de I+D+i, han establecido una </w:t>
      </w:r>
      <w:r>
        <w:rPr>
          <w:rFonts w:ascii="Century Gothic" w:eastAsia="Century Gothic" w:hAnsi="Century Gothic" w:cs="Century Gothic"/>
          <w:b/>
        </w:rPr>
        <w:t>alianza estratégica</w:t>
      </w:r>
      <w:r>
        <w:rPr>
          <w:rFonts w:ascii="Century Gothic" w:eastAsia="Century Gothic" w:hAnsi="Century Gothic" w:cs="Century Gothic"/>
        </w:rPr>
        <w:t xml:space="preserve"> para ayudar a las empresas de la industria y la gran distribución alimentaria a </w:t>
      </w:r>
      <w:r>
        <w:rPr>
          <w:rFonts w:ascii="Century Gothic" w:eastAsia="Century Gothic" w:hAnsi="Century Gothic" w:cs="Century Gothic"/>
          <w:b/>
        </w:rPr>
        <w:t>maximizar la rentabilidad de sus proyectos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b/>
        </w:rPr>
        <w:t>de innovación</w:t>
      </w:r>
      <w:r>
        <w:rPr>
          <w:rFonts w:ascii="Century Gothic" w:eastAsia="Century Gothic" w:hAnsi="Century Gothic" w:cs="Century Gothic"/>
        </w:rPr>
        <w:t xml:space="preserve"> en el ámbito de </w:t>
      </w:r>
      <w:r>
        <w:rPr>
          <w:rFonts w:ascii="Century Gothic" w:eastAsia="Century Gothic" w:hAnsi="Century Gothic" w:cs="Century Gothic"/>
          <w:b/>
        </w:rPr>
        <w:t>la sostenibilidad y la economía circular</w:t>
      </w:r>
      <w:r>
        <w:rPr>
          <w:rFonts w:ascii="Century Gothic" w:eastAsia="Century Gothic" w:hAnsi="Century Gothic" w:cs="Century Gothic"/>
        </w:rPr>
        <w:t>. Esta colaboración tiene como objetivo facilitar el acceso a financiación de proyectos de innovación, permitiendo que más empresas puedan apostar por soluciones sostenibles.</w:t>
      </w:r>
    </w:p>
    <w:p w14:paraId="56AF1843" w14:textId="77777777" w:rsidR="00385404" w:rsidRDefault="00385404" w:rsidP="00385404">
      <w:pPr>
        <w:spacing w:before="240" w:line="36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Un marco regulatorio cada vez más estricto </w:t>
      </w:r>
    </w:p>
    <w:p w14:paraId="1642A253" w14:textId="77777777" w:rsidR="00385404" w:rsidRDefault="00385404" w:rsidP="00385404">
      <w:pPr>
        <w:spacing w:before="24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En un contexto de creciente rigor regulatorio, consumidores cada vez más exigentes y márgenes de beneficio más ajustados, </w:t>
      </w:r>
      <w:r>
        <w:rPr>
          <w:rFonts w:ascii="Century Gothic" w:eastAsia="Century Gothic" w:hAnsi="Century Gothic" w:cs="Century Gothic"/>
          <w:b/>
        </w:rPr>
        <w:t>las empresas de la gran distribución deben adaptarse con rapidez</w:t>
      </w:r>
      <w:r>
        <w:rPr>
          <w:rFonts w:ascii="Century Gothic" w:eastAsia="Century Gothic" w:hAnsi="Century Gothic" w:cs="Century Gothic"/>
        </w:rPr>
        <w:t xml:space="preserve">. Para seguir siendo competitivas, deben innovar y encontrar soluciones rentables que no solo les permitan cumplir con las nuevas normativas, sino también ajustarse a un mercado en constante evolución. </w:t>
      </w:r>
    </w:p>
    <w:p w14:paraId="155A17C8" w14:textId="77777777" w:rsidR="00385404" w:rsidRDefault="00385404" w:rsidP="00385404">
      <w:pPr>
        <w:spacing w:before="24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Esta alianza nace con el objetivo de responder a las </w:t>
      </w:r>
      <w:r>
        <w:rPr>
          <w:rFonts w:ascii="Century Gothic" w:eastAsia="Century Gothic" w:hAnsi="Century Gothic" w:cs="Century Gothic"/>
          <w:b/>
        </w:rPr>
        <w:t>necesidades de financiación</w:t>
      </w:r>
      <w:r>
        <w:rPr>
          <w:rFonts w:ascii="Century Gothic" w:eastAsia="Century Gothic" w:hAnsi="Century Gothic" w:cs="Century Gothic"/>
        </w:rPr>
        <w:t xml:space="preserve"> de los </w:t>
      </w:r>
      <w:proofErr w:type="spellStart"/>
      <w:r>
        <w:rPr>
          <w:rFonts w:ascii="Century Gothic" w:eastAsia="Century Gothic" w:hAnsi="Century Gothic" w:cs="Century Gothic"/>
        </w:rPr>
        <w:t>retailers</w:t>
      </w:r>
      <w:proofErr w:type="spellEnd"/>
      <w:r>
        <w:rPr>
          <w:rFonts w:ascii="Century Gothic" w:eastAsia="Century Gothic" w:hAnsi="Century Gothic" w:cs="Century Gothic"/>
        </w:rPr>
        <w:t xml:space="preserve"> alimentarios en el ámbito de la innovación, proporcionando soluciones rentables para la gestión de sus </w:t>
      </w:r>
      <w:r>
        <w:rPr>
          <w:rFonts w:ascii="Century Gothic" w:eastAsia="Century Gothic" w:hAnsi="Century Gothic" w:cs="Century Gothic"/>
          <w:b/>
        </w:rPr>
        <w:t>excedentes alimentarios</w:t>
      </w:r>
      <w:r>
        <w:rPr>
          <w:rFonts w:ascii="Century Gothic" w:eastAsia="Century Gothic" w:hAnsi="Century Gothic" w:cs="Century Gothic"/>
        </w:rPr>
        <w:t xml:space="preserve">. </w:t>
      </w:r>
    </w:p>
    <w:p w14:paraId="3C4F0E07" w14:textId="77777777" w:rsidR="00385404" w:rsidRPr="009370AC" w:rsidRDefault="00385404" w:rsidP="00385404">
      <w:pPr>
        <w:spacing w:before="240" w:line="360" w:lineRule="auto"/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i/>
        </w:rPr>
        <w:t>"Con esta alianza, queremos transformar el sector alimentario español, ayudando a que la sostenibilidad no solo sea una opción ética, sino también rentable y accesible para todos", afirmó</w:t>
      </w:r>
      <w:r>
        <w:rPr>
          <w:rFonts w:ascii="Century Gothic" w:eastAsia="Century Gothic" w:hAnsi="Century Gothic" w:cs="Century Gothic"/>
        </w:rPr>
        <w:t xml:space="preserve"> </w:t>
      </w:r>
      <w:r w:rsidRPr="009370AC">
        <w:rPr>
          <w:rFonts w:ascii="Century Gothic" w:eastAsia="Century Gothic" w:hAnsi="Century Gothic" w:cs="Century Gothic"/>
          <w:b/>
          <w:bCs/>
        </w:rPr>
        <w:t xml:space="preserve">Antonio Díaz </w:t>
      </w:r>
      <w:proofErr w:type="gramStart"/>
      <w:r w:rsidRPr="009370AC">
        <w:rPr>
          <w:rFonts w:ascii="Century Gothic" w:eastAsia="Century Gothic" w:hAnsi="Century Gothic" w:cs="Century Gothic"/>
          <w:b/>
          <w:bCs/>
        </w:rPr>
        <w:t>Responsable</w:t>
      </w:r>
      <w:proofErr w:type="gramEnd"/>
      <w:r w:rsidRPr="009370AC">
        <w:rPr>
          <w:rFonts w:ascii="Century Gothic" w:eastAsia="Century Gothic" w:hAnsi="Century Gothic" w:cs="Century Gothic"/>
          <w:b/>
          <w:bCs/>
        </w:rPr>
        <w:t xml:space="preserve"> de Grandes Cuentas de Phenix España.</w:t>
      </w:r>
    </w:p>
    <w:p w14:paraId="7705F058" w14:textId="77777777" w:rsidR="00B94D80" w:rsidRDefault="00B94D80" w:rsidP="00385404">
      <w:pPr>
        <w:spacing w:before="240" w:line="360" w:lineRule="auto"/>
        <w:jc w:val="both"/>
        <w:rPr>
          <w:rFonts w:ascii="Century Gothic" w:eastAsia="Century Gothic" w:hAnsi="Century Gothic" w:cs="Century Gothic"/>
        </w:rPr>
      </w:pPr>
    </w:p>
    <w:p w14:paraId="3FD9E920" w14:textId="6196F370" w:rsidR="00385404" w:rsidRDefault="00385404" w:rsidP="00385404">
      <w:pPr>
        <w:spacing w:before="24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Por su parte, </w:t>
      </w:r>
      <w:r w:rsidRPr="009370AC">
        <w:rPr>
          <w:rFonts w:ascii="Century Gothic" w:eastAsia="Century Gothic" w:hAnsi="Century Gothic" w:cs="Century Gothic"/>
          <w:b/>
          <w:bCs/>
        </w:rPr>
        <w:t xml:space="preserve">Joel </w:t>
      </w:r>
      <w:proofErr w:type="spellStart"/>
      <w:r w:rsidRPr="009370AC">
        <w:rPr>
          <w:rFonts w:ascii="Century Gothic" w:eastAsia="Century Gothic" w:hAnsi="Century Gothic" w:cs="Century Gothic"/>
          <w:b/>
          <w:bCs/>
        </w:rPr>
        <w:t>Ansiporovich</w:t>
      </w:r>
      <w:proofErr w:type="spellEnd"/>
      <w:r w:rsidRPr="009370AC">
        <w:rPr>
          <w:rFonts w:ascii="Century Gothic" w:eastAsia="Century Gothic" w:hAnsi="Century Gothic" w:cs="Century Gothic"/>
          <w:b/>
          <w:bCs/>
        </w:rPr>
        <w:t xml:space="preserve"> Pinto, </w:t>
      </w:r>
      <w:proofErr w:type="gramStart"/>
      <w:r w:rsidRPr="009370AC">
        <w:rPr>
          <w:rFonts w:ascii="Century Gothic" w:eastAsia="Century Gothic" w:hAnsi="Century Gothic" w:cs="Century Gothic"/>
          <w:b/>
          <w:bCs/>
        </w:rPr>
        <w:t>Director</w:t>
      </w:r>
      <w:proofErr w:type="gramEnd"/>
      <w:r w:rsidRPr="009370AC">
        <w:rPr>
          <w:rFonts w:ascii="Century Gothic" w:eastAsia="Century Gothic" w:hAnsi="Century Gothic" w:cs="Century Gothic"/>
          <w:b/>
          <w:bCs/>
        </w:rPr>
        <w:t xml:space="preserve"> de Marketing y Ventas en iDavinci</w:t>
      </w:r>
      <w:r>
        <w:rPr>
          <w:rFonts w:ascii="Century Gothic" w:eastAsia="Century Gothic" w:hAnsi="Century Gothic" w:cs="Century Gothic"/>
        </w:rPr>
        <w:t xml:space="preserve">, añadió: </w:t>
      </w:r>
      <w:r w:rsidRPr="004F6945">
        <w:rPr>
          <w:rFonts w:ascii="Century Gothic" w:eastAsia="Century Gothic" w:hAnsi="Century Gothic" w:cs="Century Gothic"/>
          <w:i/>
        </w:rPr>
        <w:t>"Esta colaboración permitirá a las empresas innovar con impacto, no solo en términos medioambientales, sino también en su crecimiento económico y competitividad".</w:t>
      </w:r>
    </w:p>
    <w:p w14:paraId="25D14E83" w14:textId="77777777" w:rsidR="00385404" w:rsidRDefault="00385404" w:rsidP="00385404">
      <w:pPr>
        <w:jc w:val="center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-FIN -</w:t>
      </w:r>
    </w:p>
    <w:p w14:paraId="69BDC1EB" w14:textId="77777777" w:rsidR="00385404" w:rsidRDefault="00385404" w:rsidP="00385404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***</w:t>
      </w:r>
    </w:p>
    <w:p w14:paraId="2FC53568" w14:textId="77777777" w:rsidR="00385404" w:rsidRDefault="00385404" w:rsidP="00385404">
      <w:pPr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Sobre Phenix</w:t>
      </w:r>
    </w:p>
    <w:p w14:paraId="3B9E92E0" w14:textId="77777777" w:rsidR="00385404" w:rsidRDefault="00385404" w:rsidP="00385404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4D7568C7" w14:textId="77777777" w:rsidR="00385404" w:rsidRDefault="00385404" w:rsidP="00385404">
      <w:pPr>
        <w:jc w:val="both"/>
        <w:rPr>
          <w:rFonts w:ascii="Century Gothic" w:eastAsia="Century Gothic" w:hAnsi="Century Gothic" w:cs="Century Gothic"/>
          <w:i/>
          <w:sz w:val="16"/>
          <w:szCs w:val="16"/>
        </w:rPr>
      </w:pPr>
      <w:r>
        <w:rPr>
          <w:rFonts w:ascii="Century Gothic" w:eastAsia="Century Gothic" w:hAnsi="Century Gothic" w:cs="Century Gothic"/>
          <w:i/>
          <w:sz w:val="16"/>
          <w:szCs w:val="16"/>
        </w:rPr>
        <w:t xml:space="preserve">Phenix es una empresa especializada en maximizar el valor del excedente en el sector retail alimentario en España. A través de una gestión eficiente, ayuda a las empresas a convertir el excedente en una fuente de rentabilidad, mientras reduce significativamente el desperdicio alimentario y fomenta un impacto positivo en la sociedad y el medio ambiente. Nació en el 2014, en Francia, con una misión muy clara: reducir el desperdicio alimentario, un problema con un grave impacto económico, social y medioambiental a nivel mundial. Actualmente, es líder en el mercado francés y está en plena consolidación en España y Portugal. La empresa cuenta con más de 200 empleados en total. Phenix está certificada como B </w:t>
      </w:r>
      <w:proofErr w:type="spellStart"/>
      <w:r>
        <w:rPr>
          <w:rFonts w:ascii="Century Gothic" w:eastAsia="Century Gothic" w:hAnsi="Century Gothic" w:cs="Century Gothic"/>
          <w:i/>
          <w:sz w:val="16"/>
          <w:szCs w:val="16"/>
        </w:rPr>
        <w:t>Corporation</w:t>
      </w:r>
      <w:proofErr w:type="spellEnd"/>
      <w:r>
        <w:rPr>
          <w:rFonts w:ascii="Century Gothic" w:eastAsia="Century Gothic" w:hAnsi="Century Gothic" w:cs="Century Gothic"/>
          <w:i/>
          <w:sz w:val="16"/>
          <w:szCs w:val="16"/>
        </w:rPr>
        <w:t>, mostrando su compromiso con la sociedad y el medioambiente.</w:t>
      </w:r>
    </w:p>
    <w:p w14:paraId="2C41661F" w14:textId="77777777" w:rsidR="00385404" w:rsidRDefault="00385404" w:rsidP="00385404">
      <w:pPr>
        <w:jc w:val="both"/>
        <w:rPr>
          <w:rFonts w:ascii="Century Gothic" w:eastAsia="Century Gothic" w:hAnsi="Century Gothic" w:cs="Century Gothic"/>
          <w:i/>
          <w:sz w:val="16"/>
          <w:szCs w:val="16"/>
        </w:rPr>
      </w:pPr>
    </w:p>
    <w:p w14:paraId="63F78635" w14:textId="77777777" w:rsidR="00385404" w:rsidRDefault="00385404" w:rsidP="00385404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i/>
          <w:sz w:val="16"/>
          <w:szCs w:val="16"/>
        </w:rPr>
        <w:t xml:space="preserve">Para más información: </w:t>
      </w:r>
      <w:hyperlink r:id="rId8">
        <w:r>
          <w:rPr>
            <w:rFonts w:ascii="Century Gothic" w:eastAsia="Century Gothic" w:hAnsi="Century Gothic" w:cs="Century Gothic"/>
            <w:i/>
            <w:sz w:val="16"/>
            <w:szCs w:val="16"/>
          </w:rPr>
          <w:t>https://www.wearephenix.com/es/</w:t>
        </w:r>
      </w:hyperlink>
    </w:p>
    <w:p w14:paraId="29E47C04" w14:textId="77777777" w:rsidR="00385404" w:rsidRDefault="00385404" w:rsidP="00385404">
      <w:pPr>
        <w:jc w:val="both"/>
        <w:rPr>
          <w:rFonts w:ascii="Century Gothic" w:eastAsia="Century Gothic" w:hAnsi="Century Gothic" w:cs="Century Gothic"/>
          <w:i/>
          <w:sz w:val="16"/>
          <w:szCs w:val="16"/>
        </w:rPr>
      </w:pPr>
    </w:p>
    <w:p w14:paraId="3D767A59" w14:textId="77777777" w:rsidR="00385404" w:rsidRDefault="00385404" w:rsidP="00385404">
      <w:pPr>
        <w:spacing w:line="360" w:lineRule="auto"/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05407A75" w14:textId="77777777" w:rsidR="00385404" w:rsidRDefault="00385404" w:rsidP="00385404">
      <w:pPr>
        <w:spacing w:line="276" w:lineRule="auto"/>
        <w:jc w:val="both"/>
        <w:rPr>
          <w:rFonts w:ascii="Century Gothic" w:eastAsia="Century Gothic" w:hAnsi="Century Gothic" w:cs="Century Gothic"/>
          <w:b/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  <w:szCs w:val="16"/>
        </w:rPr>
        <w:t>Sobre IDavinci</w:t>
      </w:r>
    </w:p>
    <w:p w14:paraId="15A690FB" w14:textId="77777777" w:rsidR="00385404" w:rsidRDefault="00385404" w:rsidP="00385404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 xml:space="preserve">IDavinci es una consultora de innovación que tiene el propósito de generar, desarrollar y transformar la cultura empresarial del I+D+i consiguiendo rentabilidad para nuestros clientes. A través de una propuesta de valor basada en la experiencia, adaptación a los cambios, conocimiento, agilidad en toma de decisiones, cercanía y colaboración, ofrecemos al sector empresarial múltiples servicios con los que se busca hacer de la #innovación, el factor que ayude a los clientes y colaboradores a convertirse en su siguiente mejor versión. </w:t>
      </w:r>
    </w:p>
    <w:p w14:paraId="3214A2AF" w14:textId="77777777" w:rsidR="00385404" w:rsidRDefault="00385404" w:rsidP="00385404">
      <w:pPr>
        <w:spacing w:line="36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14:paraId="5CB1E193" w14:textId="77777777" w:rsidR="00385404" w:rsidRDefault="00385404" w:rsidP="00385404">
      <w:pPr>
        <w:jc w:val="right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Contacto para la prensa:</w:t>
      </w:r>
    </w:p>
    <w:p w14:paraId="2F27A19D" w14:textId="77777777" w:rsidR="00385404" w:rsidRDefault="00385404" w:rsidP="00385404">
      <w:pPr>
        <w:jc w:val="right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E6FDC61" w14:textId="77777777" w:rsidR="00385404" w:rsidRDefault="00385404" w:rsidP="00385404">
      <w:pPr>
        <w:jc w:val="right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Marina Gascón Martínez de Quel </w:t>
      </w:r>
    </w:p>
    <w:p w14:paraId="44662EA2" w14:textId="77777777" w:rsidR="00385404" w:rsidRDefault="00385404" w:rsidP="00385404">
      <w:pPr>
        <w:jc w:val="right"/>
        <w:rPr>
          <w:rFonts w:ascii="Century Gothic" w:eastAsia="Century Gothic" w:hAnsi="Century Gothic" w:cs="Century Gothic"/>
          <w:sz w:val="20"/>
          <w:szCs w:val="20"/>
        </w:rPr>
      </w:pPr>
      <w:hyperlink r:id="rId9">
        <w:r>
          <w:rPr>
            <w:rFonts w:ascii="Century Gothic" w:eastAsia="Century Gothic" w:hAnsi="Century Gothic" w:cs="Century Gothic"/>
            <w:color w:val="0563C1"/>
            <w:sz w:val="20"/>
            <w:szCs w:val="20"/>
            <w:u w:val="single"/>
          </w:rPr>
          <w:t>marina.gascon@newlink-group.com</w:t>
        </w:r>
      </w:hyperlink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1F17DBF0" w14:textId="77777777" w:rsidR="00385404" w:rsidRDefault="00385404" w:rsidP="00385404">
      <w:pPr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+ 34 651 963 459 </w:t>
      </w:r>
    </w:p>
    <w:p w14:paraId="715D4CEB" w14:textId="77777777" w:rsidR="00385404" w:rsidRDefault="00385404" w:rsidP="00385404">
      <w:pPr>
        <w:jc w:val="right"/>
        <w:rPr>
          <w:rFonts w:ascii="Century Gothic" w:eastAsia="Century Gothic" w:hAnsi="Century Gothic" w:cs="Century Gothic"/>
          <w:sz w:val="20"/>
          <w:szCs w:val="20"/>
        </w:rPr>
      </w:pPr>
    </w:p>
    <w:p w14:paraId="235CBF32" w14:textId="77777777" w:rsidR="00385404" w:rsidRDefault="00385404" w:rsidP="00385404">
      <w:pPr>
        <w:jc w:val="right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Marí</w:t>
      </w:r>
      <w:r>
        <w:rPr>
          <w:rFonts w:ascii="Century Gothic" w:eastAsia="Century Gothic" w:hAnsi="Century Gothic" w:cs="Century Gothic"/>
          <w:b/>
          <w:sz w:val="20"/>
          <w:szCs w:val="20"/>
        </w:rPr>
        <w:t>a Sánchez-Girón</w:t>
      </w:r>
    </w:p>
    <w:p w14:paraId="381FA354" w14:textId="77777777" w:rsidR="00385404" w:rsidRDefault="00385404" w:rsidP="00385404">
      <w:pPr>
        <w:jc w:val="right"/>
        <w:rPr>
          <w:rFonts w:ascii="Century Gothic" w:eastAsia="Century Gothic" w:hAnsi="Century Gothic" w:cs="Century Gothic"/>
          <w:sz w:val="20"/>
          <w:szCs w:val="20"/>
          <w:u w:val="single"/>
        </w:rPr>
      </w:pPr>
      <w:proofErr w:type="gramStart"/>
      <w:r>
        <w:rPr>
          <w:rFonts w:ascii="Century Gothic" w:eastAsia="Century Gothic" w:hAnsi="Century Gothic" w:cs="Century Gothic"/>
          <w:sz w:val="20"/>
          <w:szCs w:val="20"/>
          <w:u w:val="single"/>
        </w:rPr>
        <w:t>maria.sanchez</w:t>
      </w:r>
      <w:proofErr w:type="gramEnd"/>
      <w:r>
        <w:rPr>
          <w:rFonts w:ascii="Century Gothic" w:eastAsia="Century Gothic" w:hAnsi="Century Gothic" w:cs="Century Gothic"/>
          <w:sz w:val="20"/>
          <w:szCs w:val="20"/>
          <w:u w:val="single"/>
        </w:rPr>
        <w:t>-giron</w:t>
      </w:r>
      <w:hyperlink r:id="rId10">
        <w:r>
          <w:rPr>
            <w:rFonts w:ascii="Century Gothic" w:eastAsia="Century Gothic" w:hAnsi="Century Gothic" w:cs="Century Gothic"/>
            <w:color w:val="0563C1"/>
            <w:sz w:val="20"/>
            <w:szCs w:val="20"/>
            <w:u w:val="single"/>
          </w:rPr>
          <w:t>@newlink-group.com</w:t>
        </w:r>
      </w:hyperlink>
    </w:p>
    <w:p w14:paraId="30C98FE7" w14:textId="77777777" w:rsidR="00385404" w:rsidRDefault="00385404" w:rsidP="00385404">
      <w:pPr>
        <w:jc w:val="right"/>
        <w:rPr>
          <w:rFonts w:ascii="Century Gothic" w:eastAsia="Century Gothic" w:hAnsi="Century Gothic" w:cs="Century Gothic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sz w:val="20"/>
          <w:szCs w:val="20"/>
        </w:rPr>
        <w:t>+34 653 125 545</w:t>
      </w:r>
    </w:p>
    <w:p w14:paraId="3FA26836" w14:textId="77777777" w:rsidR="00385404" w:rsidRDefault="00385404" w:rsidP="00385404">
      <w:pPr>
        <w:spacing w:line="36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14:paraId="5484AA8B" w14:textId="77777777" w:rsidR="00385404" w:rsidRDefault="00385404" w:rsidP="00385404">
      <w:pPr>
        <w:spacing w:line="360" w:lineRule="auto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14:paraId="008F88EA" w14:textId="77777777" w:rsidR="00385404" w:rsidRDefault="00385404" w:rsidP="00385404">
      <w:pPr>
        <w:spacing w:line="360" w:lineRule="auto"/>
        <w:jc w:val="both"/>
        <w:rPr>
          <w:sz w:val="18"/>
          <w:szCs w:val="18"/>
        </w:rPr>
      </w:pPr>
    </w:p>
    <w:p w14:paraId="370ABC94" w14:textId="5A00ABD6" w:rsidR="00385404" w:rsidRPr="00385404" w:rsidRDefault="00385404" w:rsidP="00385404">
      <w:pPr>
        <w:tabs>
          <w:tab w:val="left" w:pos="3464"/>
        </w:tabs>
      </w:pPr>
    </w:p>
    <w:sectPr w:rsidR="00385404" w:rsidRPr="0038540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0549" w14:textId="77777777" w:rsidR="00BD2DC7" w:rsidRDefault="00BD2DC7" w:rsidP="00BD2DC7">
      <w:r>
        <w:separator/>
      </w:r>
    </w:p>
  </w:endnote>
  <w:endnote w:type="continuationSeparator" w:id="0">
    <w:p w14:paraId="3153B23E" w14:textId="77777777" w:rsidR="00BD2DC7" w:rsidRDefault="00BD2DC7" w:rsidP="00BD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9E78" w14:textId="77777777" w:rsidR="00BD2DC7" w:rsidRDefault="00BD2DC7" w:rsidP="00BD2DC7">
      <w:r>
        <w:separator/>
      </w:r>
    </w:p>
  </w:footnote>
  <w:footnote w:type="continuationSeparator" w:id="0">
    <w:p w14:paraId="58F47D31" w14:textId="77777777" w:rsidR="00BD2DC7" w:rsidRDefault="00BD2DC7" w:rsidP="00BD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EADB" w14:textId="11D4636A" w:rsidR="00BD2DC7" w:rsidRDefault="00292AC9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hidden="0" allowOverlap="1" wp14:anchorId="1BF6A616" wp14:editId="78199473">
          <wp:simplePos x="0" y="0"/>
          <wp:positionH relativeFrom="margin">
            <wp:posOffset>4244196</wp:posOffset>
          </wp:positionH>
          <wp:positionV relativeFrom="topMargin">
            <wp:posOffset>492161</wp:posOffset>
          </wp:positionV>
          <wp:extent cx="1581150" cy="614680"/>
          <wp:effectExtent l="0" t="0" r="0" b="0"/>
          <wp:wrapSquare wrapText="bothSides" distT="0" distB="0" distL="114300" distR="114300"/>
          <wp:docPr id="1706934828" name="image2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D2DC7"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176E253C" wp14:editId="779730A8">
          <wp:simplePos x="0" y="0"/>
          <wp:positionH relativeFrom="margin">
            <wp:posOffset>0</wp:posOffset>
          </wp:positionH>
          <wp:positionV relativeFrom="margin">
            <wp:posOffset>-260985</wp:posOffset>
          </wp:positionV>
          <wp:extent cx="1813560" cy="365125"/>
          <wp:effectExtent l="0" t="0" r="0" b="0"/>
          <wp:wrapSquare wrapText="bothSides" distT="0" distB="0" distL="114300" distR="114300"/>
          <wp:docPr id="1706934829" name="image1.png" descr="Dibujo en blanco y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bujo en blanco y negr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60" cy="365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38CE"/>
    <w:multiLevelType w:val="multilevel"/>
    <w:tmpl w:val="C980E8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032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68"/>
    <w:rsid w:val="001443B8"/>
    <w:rsid w:val="001F172C"/>
    <w:rsid w:val="00292AC9"/>
    <w:rsid w:val="00385404"/>
    <w:rsid w:val="00932068"/>
    <w:rsid w:val="00945E6D"/>
    <w:rsid w:val="00B94D80"/>
    <w:rsid w:val="00BA40D4"/>
    <w:rsid w:val="00B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5B1E"/>
  <w15:chartTrackingRefBased/>
  <w15:docId w15:val="{A30D7D02-E9FA-4756-9654-4BD98554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40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2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2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2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2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20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20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20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20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2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2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2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20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20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20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20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20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20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20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2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2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20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20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20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2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20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20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2D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DC7"/>
  </w:style>
  <w:style w:type="paragraph" w:styleId="Piedepgina">
    <w:name w:val="footer"/>
    <w:basedOn w:val="Normal"/>
    <w:link w:val="PiedepginaCar"/>
    <w:uiPriority w:val="99"/>
    <w:unhideWhenUsed/>
    <w:rsid w:val="00BD2D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rephenix.com/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arephenix.com/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na.gascon@newlink-grou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Sánchez-Girón</dc:creator>
  <cp:keywords/>
  <dc:description/>
  <cp:lastModifiedBy>María Sánchez-Girón</cp:lastModifiedBy>
  <cp:revision>5</cp:revision>
  <dcterms:created xsi:type="dcterms:W3CDTF">2025-02-17T16:57:00Z</dcterms:created>
  <dcterms:modified xsi:type="dcterms:W3CDTF">2025-02-17T16:58:00Z</dcterms:modified>
</cp:coreProperties>
</file>