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4C67E" w14:textId="77777777" w:rsidR="00A81C2C" w:rsidRDefault="00A81C2C" w:rsidP="00A81C2C">
      <w:pPr>
        <w:jc w:val="center"/>
        <w:rPr>
          <w:rFonts w:ascii="Century Gothic" w:eastAsia="Century Gothic" w:hAnsi="Century Gothic" w:cs="Century Gothic"/>
          <w:b/>
          <w:color w:val="C55911"/>
          <w:sz w:val="34"/>
          <w:szCs w:val="34"/>
        </w:rPr>
      </w:pPr>
      <w:r>
        <w:rPr>
          <w:rFonts w:ascii="Century Gothic" w:eastAsia="Century Gothic" w:hAnsi="Century Gothic" w:cs="Century Gothic"/>
          <w:b/>
          <w:color w:val="C55911"/>
          <w:sz w:val="34"/>
          <w:szCs w:val="34"/>
        </w:rPr>
        <w:t>Vuelta al cole de los supermercados: consejos de Phenix para un comienzo eficiente y sostenible</w:t>
      </w:r>
    </w:p>
    <w:p w14:paraId="3CFFBCA5" w14:textId="77777777" w:rsidR="00A81C2C" w:rsidRDefault="00A81C2C" w:rsidP="00A81C2C">
      <w:pPr>
        <w:jc w:val="center"/>
        <w:rPr>
          <w:rFonts w:ascii="Century Gothic" w:eastAsia="Century Gothic" w:hAnsi="Century Gothic" w:cs="Century Gothic"/>
          <w:b/>
          <w:color w:val="C55911"/>
          <w:sz w:val="34"/>
          <w:szCs w:val="34"/>
        </w:rPr>
      </w:pPr>
    </w:p>
    <w:p w14:paraId="39F4DCDC" w14:textId="77777777" w:rsidR="00A81C2C" w:rsidRPr="00414D03" w:rsidRDefault="00A81C2C" w:rsidP="00A81C2C">
      <w:pPr>
        <w:spacing w:line="276" w:lineRule="auto"/>
        <w:rPr>
          <w:rFonts w:asciiTheme="minorHAnsi" w:eastAsia="Century Gothic" w:hAnsiTheme="minorHAnsi" w:cstheme="minorHAnsi"/>
          <w:b/>
        </w:rPr>
      </w:pPr>
    </w:p>
    <w:p w14:paraId="01C9B260" w14:textId="77777777" w:rsidR="00A81C2C" w:rsidRDefault="00A81C2C" w:rsidP="00A81C2C">
      <w:pPr>
        <w:pStyle w:val="Prrafodelista"/>
        <w:numPr>
          <w:ilvl w:val="0"/>
          <w:numId w:val="6"/>
        </w:numPr>
        <w:spacing w:after="200" w:line="276" w:lineRule="auto"/>
        <w:rPr>
          <w:rFonts w:ascii="Century Gothic" w:eastAsia="Century Gothic" w:hAnsi="Century Gothic" w:cstheme="minorHAnsi"/>
        </w:rPr>
      </w:pPr>
      <w:r w:rsidRPr="00D51C73">
        <w:rPr>
          <w:rFonts w:ascii="Century Gothic" w:eastAsia="Century Gothic" w:hAnsi="Century Gothic" w:cstheme="minorHAnsi"/>
        </w:rPr>
        <w:t xml:space="preserve">Ofrecer descuentos en alimentos próximos a vencer, priorizar la venta de productos más antiguos y gestionar eficientemente el stock son algunos de los consejos </w:t>
      </w:r>
      <w:r>
        <w:rPr>
          <w:rFonts w:ascii="Century Gothic" w:eastAsia="Century Gothic" w:hAnsi="Century Gothic" w:cstheme="minorHAnsi"/>
        </w:rPr>
        <w:t>que</w:t>
      </w:r>
      <w:r w:rsidRPr="00D51C73">
        <w:rPr>
          <w:rFonts w:ascii="Century Gothic" w:eastAsia="Century Gothic" w:hAnsi="Century Gothic" w:cstheme="minorHAnsi"/>
        </w:rPr>
        <w:t xml:space="preserve"> </w:t>
      </w:r>
      <w:r>
        <w:rPr>
          <w:rFonts w:ascii="Century Gothic" w:eastAsia="Century Gothic" w:hAnsi="Century Gothic" w:cstheme="minorHAnsi"/>
        </w:rPr>
        <w:t xml:space="preserve">Phenix brinda a los supermercados </w:t>
      </w:r>
    </w:p>
    <w:p w14:paraId="31CCC72C" w14:textId="77777777" w:rsidR="00A81C2C" w:rsidRPr="009D6BF4" w:rsidRDefault="00A81C2C" w:rsidP="00A81C2C">
      <w:pPr>
        <w:pStyle w:val="Prrafodelista"/>
        <w:spacing w:after="200" w:line="276" w:lineRule="auto"/>
        <w:rPr>
          <w:rFonts w:ascii="Century Gothic" w:eastAsia="Century Gothic" w:hAnsi="Century Gothic" w:cstheme="minorHAnsi"/>
        </w:rPr>
      </w:pPr>
    </w:p>
    <w:p w14:paraId="1801A29B" w14:textId="77777777" w:rsidR="00A81C2C" w:rsidRDefault="00A81C2C" w:rsidP="00A81C2C">
      <w:pPr>
        <w:spacing w:after="200" w:line="360" w:lineRule="auto"/>
        <w:jc w:val="both"/>
        <w:rPr>
          <w:rFonts w:ascii="Century Gothic" w:eastAsia="Century Gothic" w:hAnsi="Century Gothic" w:cs="Century Gothic"/>
          <w:sz w:val="20"/>
          <w:szCs w:val="20"/>
        </w:rPr>
      </w:pPr>
      <w:r>
        <w:rPr>
          <w:rFonts w:ascii="Century Gothic" w:eastAsia="Century Gothic" w:hAnsi="Century Gothic" w:cs="Century Gothic"/>
          <w:b/>
          <w:sz w:val="20"/>
          <w:szCs w:val="20"/>
        </w:rPr>
        <w:t>Madrid, 2 de septiembre de 2024.-</w:t>
      </w:r>
      <w:r>
        <w:rPr>
          <w:rFonts w:ascii="Century Gothic" w:eastAsia="Century Gothic" w:hAnsi="Century Gothic" w:cs="Century Gothic"/>
          <w:sz w:val="20"/>
          <w:szCs w:val="20"/>
        </w:rPr>
        <w:t xml:space="preserve"> La vuelta al cole ha llegado, marcando un periodo protagonizado por un cambio de hábitos de consumo. En verano se come y se cena más tarde y, al no madrugar, a veces hasta nos saltamos alguna comida, pasamos de horarios más relajados y comidas menos copiosas a temperaturas más bajas y a retomar las rutinas de alimentación.</w:t>
      </w:r>
    </w:p>
    <w:p w14:paraId="11C7C098" w14:textId="77777777" w:rsidR="00A81C2C" w:rsidRDefault="00A81C2C" w:rsidP="00A81C2C">
      <w:pPr>
        <w:spacing w:after="20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Este cambio en los hábitos de consumo, sumado al incremento exponencial de las compras post vacacionales obliga a los establecimientos a estar preparados, especialmente a los que responden a la demanda de productos de primera necesidad, como los supermercados. En este contexto, </w:t>
      </w:r>
      <w:hyperlink r:id="rId9">
        <w:r>
          <w:rPr>
            <w:rFonts w:ascii="Century Gothic" w:eastAsia="Century Gothic" w:hAnsi="Century Gothic" w:cs="Century Gothic"/>
            <w:b/>
            <w:color w:val="1155CC"/>
            <w:sz w:val="20"/>
            <w:szCs w:val="20"/>
            <w:u w:val="single"/>
          </w:rPr>
          <w:t>Phenix</w:t>
        </w:r>
      </w:hyperlink>
      <w:r>
        <w:rPr>
          <w:rFonts w:ascii="Century Gothic" w:eastAsia="Century Gothic" w:hAnsi="Century Gothic" w:cs="Century Gothic"/>
          <w:sz w:val="20"/>
          <w:szCs w:val="20"/>
        </w:rPr>
        <w:t xml:space="preserve">, </w:t>
      </w:r>
      <w:proofErr w:type="gramStart"/>
      <w:r>
        <w:rPr>
          <w:rFonts w:ascii="Century Gothic" w:eastAsia="Century Gothic" w:hAnsi="Century Gothic" w:cs="Century Gothic"/>
          <w:sz w:val="20"/>
          <w:szCs w:val="20"/>
        </w:rPr>
        <w:t>startup</w:t>
      </w:r>
      <w:proofErr w:type="gramEnd"/>
      <w:r>
        <w:rPr>
          <w:rFonts w:ascii="Century Gothic" w:eastAsia="Century Gothic" w:hAnsi="Century Gothic" w:cs="Century Gothic"/>
          <w:sz w:val="20"/>
          <w:szCs w:val="20"/>
        </w:rPr>
        <w:t xml:space="preserve"> que ayuda a las empresas a optimizar su excedente alimentario, señala que, al implementar las estrategias adecuadas, los supermercados pueden, no solo realizar una gestión más eficiente de las ventas esta temporada, sino también ir más allá en su compromiso con la sostenibilidad y reducir el desperdicio alimentario: </w:t>
      </w:r>
    </w:p>
    <w:p w14:paraId="3734481C" w14:textId="77777777" w:rsidR="00A81C2C" w:rsidRDefault="00A81C2C" w:rsidP="00A81C2C">
      <w:pPr>
        <w:spacing w:after="200" w:line="360" w:lineRule="auto"/>
        <w:jc w:val="both"/>
        <w:rPr>
          <w:rFonts w:ascii="Century Gothic" w:eastAsia="Century Gothic" w:hAnsi="Century Gothic" w:cs="Century Gothic"/>
          <w:sz w:val="20"/>
          <w:szCs w:val="20"/>
        </w:rPr>
      </w:pPr>
      <w:r>
        <w:rPr>
          <w:rFonts w:ascii="Century Gothic" w:eastAsia="Century Gothic" w:hAnsi="Century Gothic" w:cs="Century Gothic"/>
          <w:b/>
          <w:sz w:val="20"/>
          <w:szCs w:val="20"/>
        </w:rPr>
        <w:t>Descuentos de productos con fechas próximas a vencer</w:t>
      </w:r>
    </w:p>
    <w:p w14:paraId="6BBF192F" w14:textId="77777777" w:rsidR="00A81C2C" w:rsidRDefault="00A81C2C" w:rsidP="00A81C2C">
      <w:pPr>
        <w:spacing w:after="20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Una estrategia efectiva para cumplir con la creciente demanda de productos y a su vez contribuir a un consumo más sostenible es ofrecer descuentos en alimentos que están en su pico de temporada o que están cerca de la fecha de vencimiento. En este sentido, desde Phenix aseguran que las promociones y ofertas especiales no solo atraen a los clientes, sino que también facilitan la salida de productos que, de otro modo, estarían encaminados a desperdiciarse.</w:t>
      </w:r>
    </w:p>
    <w:p w14:paraId="1D361710" w14:textId="77777777" w:rsidR="00A81C2C" w:rsidRDefault="00A81C2C" w:rsidP="00A81C2C">
      <w:pPr>
        <w:spacing w:after="200" w:line="360"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Gestión de alimentos frescos y visiblemente imperfectos</w:t>
      </w:r>
    </w:p>
    <w:p w14:paraId="3F1F855F" w14:textId="77777777" w:rsidR="00A81C2C" w:rsidRDefault="00A81C2C" w:rsidP="00A81C2C">
      <w:pPr>
        <w:spacing w:after="200" w:line="360" w:lineRule="auto"/>
        <w:jc w:val="both"/>
      </w:pPr>
      <w:r>
        <w:rPr>
          <w:rFonts w:ascii="Century Gothic" w:eastAsia="Century Gothic" w:hAnsi="Century Gothic" w:cs="Century Gothic"/>
          <w:sz w:val="20"/>
          <w:szCs w:val="20"/>
        </w:rPr>
        <w:t xml:space="preserve">Una fruta visiblemente perfecta no tiene por qué tener mayor calidad y propiedades que otra que no lo es tanto. Los expertos de Phenix recomiendan asegurarse de que los productos más antiguos sean los primeros en ser vendidos y esto pasa por la venta de alimentos perecederos como las frutas y las verduras frescas que en algunos casos son </w:t>
      </w:r>
      <w:r>
        <w:rPr>
          <w:rFonts w:ascii="Century Gothic" w:eastAsia="Century Gothic" w:hAnsi="Century Gothic" w:cs="Century Gothic"/>
          <w:sz w:val="20"/>
          <w:szCs w:val="20"/>
        </w:rPr>
        <w:lastRenderedPageBreak/>
        <w:t xml:space="preserve">visualmente imperfectas. Esta práctica ayuda a minimizar las pérdidas y a su vez a garantiza un consumo más responsable. </w:t>
      </w:r>
      <w:r>
        <w:t xml:space="preserve"> </w:t>
      </w:r>
    </w:p>
    <w:p w14:paraId="374C6F12" w14:textId="77777777" w:rsidR="00A81C2C" w:rsidRDefault="00A81C2C" w:rsidP="00A81C2C">
      <w:pPr>
        <w:spacing w:after="200" w:line="360"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Revisión y optimización de inventarios</w:t>
      </w:r>
    </w:p>
    <w:p w14:paraId="0A4DCC0D" w14:textId="77777777" w:rsidR="00A81C2C" w:rsidRDefault="00A81C2C" w:rsidP="00A81C2C">
      <w:pPr>
        <w:spacing w:after="20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Una gestión eficiente del stock es clave para el éxito de cualquier supermercado. Desde Phenix insisten en realizar revisiones exhaustivas de inventarios para identificar productos cercanos a su fecha de vencimiento y así gestionar su venta de manera eficiente, como por ejemplo asegurarse de que los productos más antiguos se localicen en lugares visibles y accesibles para los compradores. Además, también se recomienda ajustar los pedidos en función de las tendencias de venta y la estacionalidad para evitar el sobreabastecimiento.</w:t>
      </w:r>
    </w:p>
    <w:p w14:paraId="6599BF46" w14:textId="77777777" w:rsidR="00A81C2C" w:rsidRDefault="00A81C2C" w:rsidP="00A81C2C">
      <w:pPr>
        <w:spacing w:after="200" w:line="360"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Realizar donaciones</w:t>
      </w:r>
    </w:p>
    <w:p w14:paraId="564BD53E" w14:textId="77777777" w:rsidR="00A81C2C" w:rsidRDefault="00A81C2C" w:rsidP="00A81C2C">
      <w:pPr>
        <w:spacing w:after="20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Desde Phenix recuerdan la posibilidad de colaborar con organizaciones locales para donar productos que están cerca de su fecha de vencimiento, pero aún son aptos para el consumo es esencial. Además, para hacer esta colaboración más eficiente y ahorrar tiempo, se puede externalizar la gestión de las donaciones a expertos que no solo ofrecen su conocimiento, sino que también permiten extender estas prácticas a toda la red de tiendas. Gracias a los procesos y tecnología específicos para las donaciones, se obtienen datos útiles que ayudan a manejar los excedentes. Esta información se puede usar para analizar el desperdicio y ajustar las estrategias de compra y venta, mejorando así la eficiencia. Además, las donaciones en España cuentan con una serie de ayudas fiscales que incentivan las donaciones de alimentos, reconociendo el papel crucial que juegan las entidades y empresas en la lucha contra el desperdicio alimentario.</w:t>
      </w:r>
    </w:p>
    <w:p w14:paraId="36408C2F" w14:textId="77777777" w:rsidR="00A81C2C" w:rsidRDefault="00A81C2C" w:rsidP="00A81C2C">
      <w:pPr>
        <w:spacing w:after="200" w:line="360" w:lineRule="auto"/>
        <w:jc w:val="both"/>
        <w:rPr>
          <w:rFonts w:ascii="Century Gothic" w:eastAsia="Century Gothic" w:hAnsi="Century Gothic" w:cs="Century Gothic"/>
          <w:b/>
          <w:sz w:val="20"/>
          <w:szCs w:val="20"/>
        </w:rPr>
      </w:pPr>
      <w:r>
        <w:rPr>
          <w:rFonts w:ascii="Century Gothic" w:eastAsia="Century Gothic" w:hAnsi="Century Gothic" w:cs="Century Gothic"/>
          <w:sz w:val="20"/>
          <w:szCs w:val="20"/>
        </w:rPr>
        <w:t xml:space="preserve">Al registrar y estudiar los patrones de desperdicio, los supermercados pueden mejorar sus predicciones de demanda y ajustar sus promociones, reduciendo el exceso de </w:t>
      </w:r>
      <w:proofErr w:type="spellStart"/>
      <w:proofErr w:type="gramStart"/>
      <w:r>
        <w:rPr>
          <w:rFonts w:ascii="Century Gothic" w:eastAsia="Century Gothic" w:hAnsi="Century Gothic" w:cs="Century Gothic"/>
          <w:sz w:val="20"/>
          <w:szCs w:val="20"/>
        </w:rPr>
        <w:t>inventario.</w:t>
      </w:r>
      <w:r>
        <w:rPr>
          <w:rFonts w:ascii="Century Gothic" w:eastAsia="Century Gothic" w:hAnsi="Century Gothic" w:cs="Century Gothic"/>
          <w:b/>
          <w:sz w:val="20"/>
          <w:szCs w:val="20"/>
        </w:rPr>
        <w:t>Concienciar</w:t>
      </w:r>
      <w:proofErr w:type="spellEnd"/>
      <w:proofErr w:type="gramEnd"/>
      <w:r>
        <w:rPr>
          <w:rFonts w:ascii="Century Gothic" w:eastAsia="Century Gothic" w:hAnsi="Century Gothic" w:cs="Century Gothic"/>
          <w:b/>
          <w:sz w:val="20"/>
          <w:szCs w:val="20"/>
        </w:rPr>
        <w:t xml:space="preserve"> a los consumidores, los grandes protagonistas</w:t>
      </w:r>
    </w:p>
    <w:p w14:paraId="654EA6B0" w14:textId="77777777" w:rsidR="00A81C2C" w:rsidRDefault="00A81C2C" w:rsidP="00A81C2C">
      <w:pPr>
        <w:spacing w:after="20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Para avanzar en la lucha contra el desperdicio alimentario esta temporada, es crucial concienciar a los ciudadanos sobre la importancia de un consumo responsable. Desde Phenix recomiendan a los compradores asistir a los supermercados con listas detalladas y evitar adquirir productos innecesarios. Además, insisten en la importancia de conservar adecuadamente los alimentos, así como realizar donaciones de productos no perecederos a bancos de alimentos, ayudando a quienes más lo necesitan.</w:t>
      </w:r>
    </w:p>
    <w:p w14:paraId="155D8FF2" w14:textId="77777777" w:rsidR="00A81C2C" w:rsidRDefault="00A81C2C" w:rsidP="00A81C2C">
      <w:pPr>
        <w:spacing w:after="20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w:t>
      </w:r>
      <w:r>
        <w:rPr>
          <w:rFonts w:ascii="Century Gothic" w:eastAsia="Century Gothic" w:hAnsi="Century Gothic" w:cs="Century Gothic"/>
          <w:i/>
          <w:sz w:val="20"/>
          <w:szCs w:val="20"/>
        </w:rPr>
        <w:t xml:space="preserve">La vuelta al cole es una excelente oportunidad para que los supermercados se reorganicen y adopten prácticas más eficientes y sostenibles. Con las herramientas y </w:t>
      </w:r>
      <w:r>
        <w:rPr>
          <w:rFonts w:ascii="Century Gothic" w:eastAsia="Century Gothic" w:hAnsi="Century Gothic" w:cs="Century Gothic"/>
          <w:i/>
          <w:sz w:val="20"/>
          <w:szCs w:val="20"/>
        </w:rPr>
        <w:lastRenderedPageBreak/>
        <w:t>estrategias adecuadas, podemos reducir significativamente el desperdicio alimentario y contribuir a optimizar la rentabilidad de los supermercados en España, avanzando hacia un futuro más verde</w:t>
      </w:r>
      <w:proofErr w:type="gramStart"/>
      <w:r>
        <w:rPr>
          <w:rFonts w:ascii="Century Gothic" w:eastAsia="Century Gothic" w:hAnsi="Century Gothic" w:cs="Century Gothic"/>
          <w:sz w:val="20"/>
          <w:szCs w:val="20"/>
        </w:rPr>
        <w:t>",  señala</w:t>
      </w:r>
      <w:proofErr w:type="gramEnd"/>
      <w:r>
        <w:rPr>
          <w:rFonts w:ascii="Century Gothic" w:eastAsia="Century Gothic" w:hAnsi="Century Gothic" w:cs="Century Gothic"/>
          <w:sz w:val="20"/>
          <w:szCs w:val="20"/>
        </w:rPr>
        <w:t xml:space="preserve"> </w:t>
      </w:r>
      <w:r>
        <w:rPr>
          <w:rFonts w:ascii="Century Gothic" w:eastAsia="Century Gothic" w:hAnsi="Century Gothic" w:cs="Century Gothic"/>
          <w:b/>
          <w:sz w:val="20"/>
          <w:szCs w:val="20"/>
        </w:rPr>
        <w:t xml:space="preserve">Jean-Baptiste </w:t>
      </w:r>
      <w:proofErr w:type="spellStart"/>
      <w:r>
        <w:rPr>
          <w:rFonts w:ascii="Century Gothic" w:eastAsia="Century Gothic" w:hAnsi="Century Gothic" w:cs="Century Gothic"/>
          <w:b/>
          <w:sz w:val="20"/>
          <w:szCs w:val="20"/>
        </w:rPr>
        <w:t>Boubault</w:t>
      </w:r>
      <w:proofErr w:type="spellEnd"/>
      <w:r>
        <w:rPr>
          <w:rFonts w:ascii="Century Gothic" w:eastAsia="Century Gothic" w:hAnsi="Century Gothic" w:cs="Century Gothic"/>
          <w:b/>
          <w:sz w:val="20"/>
          <w:szCs w:val="20"/>
        </w:rPr>
        <w:t>, Country Manager de Phenix en España</w:t>
      </w:r>
      <w:r>
        <w:rPr>
          <w:rFonts w:ascii="Century Gothic" w:eastAsia="Century Gothic" w:hAnsi="Century Gothic" w:cs="Century Gothic"/>
          <w:sz w:val="20"/>
          <w:szCs w:val="20"/>
        </w:rPr>
        <w:t>.</w:t>
      </w:r>
    </w:p>
    <w:p w14:paraId="416800DE" w14:textId="77777777" w:rsidR="00A81C2C" w:rsidRDefault="00A81C2C" w:rsidP="00A81C2C">
      <w:pPr>
        <w:numPr>
          <w:ilvl w:val="0"/>
          <w:numId w:val="12"/>
        </w:numPr>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FIN   -</w:t>
      </w:r>
    </w:p>
    <w:p w14:paraId="4DF62934" w14:textId="77777777" w:rsidR="00A81C2C" w:rsidRDefault="00A81C2C" w:rsidP="00A81C2C">
      <w:pPr>
        <w:ind w:left="720"/>
        <w:rPr>
          <w:rFonts w:ascii="Century Gothic" w:eastAsia="Century Gothic" w:hAnsi="Century Gothic" w:cs="Century Gothic"/>
          <w:color w:val="000000"/>
          <w:sz w:val="20"/>
          <w:szCs w:val="20"/>
        </w:rPr>
      </w:pPr>
    </w:p>
    <w:p w14:paraId="77978096" w14:textId="77777777" w:rsidR="00A81C2C" w:rsidRDefault="00A81C2C" w:rsidP="00A81C2C">
      <w:pPr>
        <w:rPr>
          <w:sz w:val="18"/>
          <w:szCs w:val="18"/>
        </w:rPr>
      </w:pPr>
    </w:p>
    <w:p w14:paraId="0A2CEC63" w14:textId="77777777" w:rsidR="00A81C2C" w:rsidRDefault="00A81C2C" w:rsidP="00A81C2C">
      <w:pPr>
        <w:rPr>
          <w:sz w:val="18"/>
          <w:szCs w:val="18"/>
        </w:rPr>
      </w:pPr>
    </w:p>
    <w:p w14:paraId="78754909" w14:textId="77777777" w:rsidR="00A81C2C" w:rsidRDefault="00A81C2C" w:rsidP="00A81C2C">
      <w:pPr>
        <w:rPr>
          <w:sz w:val="18"/>
          <w:szCs w:val="18"/>
        </w:rPr>
      </w:pPr>
      <w:r>
        <w:rPr>
          <w:sz w:val="18"/>
          <w:szCs w:val="18"/>
        </w:rPr>
        <w:t>***</w:t>
      </w:r>
    </w:p>
    <w:p w14:paraId="467FCB84" w14:textId="77777777" w:rsidR="00A81C2C" w:rsidRDefault="00A81C2C" w:rsidP="00A81C2C">
      <w:pPr>
        <w:rPr>
          <w:b/>
          <w:sz w:val="18"/>
          <w:szCs w:val="18"/>
        </w:rPr>
      </w:pPr>
      <w:r>
        <w:rPr>
          <w:b/>
          <w:sz w:val="18"/>
          <w:szCs w:val="18"/>
        </w:rPr>
        <w:t>Sobre Phenix</w:t>
      </w:r>
    </w:p>
    <w:p w14:paraId="2FAF5A80" w14:textId="77777777" w:rsidR="00A81C2C" w:rsidRDefault="00A81C2C" w:rsidP="00A81C2C">
      <w:pPr>
        <w:jc w:val="both"/>
        <w:rPr>
          <w:sz w:val="18"/>
          <w:szCs w:val="18"/>
        </w:rPr>
      </w:pPr>
      <w:r>
        <w:rPr>
          <w:sz w:val="18"/>
          <w:szCs w:val="18"/>
        </w:rPr>
        <w:t>Phenix es una compañía que ayuda a optimizar el excedente alimentario de las empresas,</w:t>
      </w:r>
      <w:r>
        <w:t xml:space="preserve"> </w:t>
      </w:r>
      <w:r>
        <w:rPr>
          <w:sz w:val="18"/>
          <w:szCs w:val="18"/>
        </w:rPr>
        <w:t xml:space="preserve">en toda la cadena de valor del producto: producción, transformación, distribución y </w:t>
      </w:r>
      <w:proofErr w:type="gramStart"/>
      <w:r>
        <w:rPr>
          <w:sz w:val="18"/>
          <w:szCs w:val="18"/>
        </w:rPr>
        <w:t>comercialización,.</w:t>
      </w:r>
      <w:proofErr w:type="gramEnd"/>
      <w:r>
        <w:rPr>
          <w:sz w:val="18"/>
          <w:szCs w:val="18"/>
        </w:rPr>
        <w:t xml:space="preserve"> Nació en el 2014 en Francia con una misión muy clara: reducir el desperdicio alimentario, una problemática global con graves impactos económicos, sociales y medioambientales. Actualmente, es líder en el mercado francés y está en plena consolidación en España y Portugal con más de 200 empleados en total. </w:t>
      </w:r>
    </w:p>
    <w:p w14:paraId="752FA847" w14:textId="77777777" w:rsidR="00A81C2C" w:rsidRDefault="00A81C2C" w:rsidP="00A81C2C">
      <w:pPr>
        <w:jc w:val="both"/>
        <w:rPr>
          <w:sz w:val="18"/>
          <w:szCs w:val="18"/>
        </w:rPr>
      </w:pPr>
    </w:p>
    <w:p w14:paraId="4057AC72" w14:textId="77777777" w:rsidR="00A81C2C" w:rsidRDefault="00A81C2C" w:rsidP="00A81C2C">
      <w:pPr>
        <w:jc w:val="both"/>
        <w:rPr>
          <w:color w:val="0000FF"/>
          <w:sz w:val="16"/>
          <w:szCs w:val="16"/>
        </w:rPr>
      </w:pPr>
      <w:r>
        <w:rPr>
          <w:sz w:val="18"/>
          <w:szCs w:val="18"/>
        </w:rPr>
        <w:t>Para más información: https://www.wearephenix.com/pro/es/sectores/</w:t>
      </w:r>
    </w:p>
    <w:p w14:paraId="7E7F669B" w14:textId="77777777" w:rsidR="00A81C2C" w:rsidRDefault="00A81C2C" w:rsidP="00A81C2C">
      <w:pPr>
        <w:jc w:val="right"/>
        <w:rPr>
          <w:b/>
          <w:sz w:val="20"/>
          <w:szCs w:val="20"/>
        </w:rPr>
      </w:pPr>
      <w:r>
        <w:rPr>
          <w:b/>
          <w:sz w:val="20"/>
          <w:szCs w:val="20"/>
        </w:rPr>
        <w:t>Contacto para la prensa:</w:t>
      </w:r>
    </w:p>
    <w:p w14:paraId="7890364D" w14:textId="77777777" w:rsidR="00A81C2C" w:rsidRDefault="00A81C2C" w:rsidP="00A81C2C">
      <w:pPr>
        <w:jc w:val="right"/>
        <w:rPr>
          <w:b/>
          <w:sz w:val="20"/>
          <w:szCs w:val="20"/>
        </w:rPr>
      </w:pPr>
    </w:p>
    <w:p w14:paraId="4F801AB0" w14:textId="77777777" w:rsidR="00A81C2C" w:rsidRDefault="00A81C2C" w:rsidP="00A81C2C">
      <w:pPr>
        <w:jc w:val="right"/>
        <w:rPr>
          <w:b/>
          <w:sz w:val="20"/>
          <w:szCs w:val="20"/>
        </w:rPr>
      </w:pPr>
      <w:r>
        <w:rPr>
          <w:b/>
          <w:sz w:val="20"/>
          <w:szCs w:val="20"/>
        </w:rPr>
        <w:t xml:space="preserve">Marina Gascón Martínez de Quel </w:t>
      </w:r>
    </w:p>
    <w:p w14:paraId="008CAF61" w14:textId="77777777" w:rsidR="00A81C2C" w:rsidRDefault="00A81C2C" w:rsidP="00A81C2C">
      <w:pPr>
        <w:jc w:val="right"/>
        <w:rPr>
          <w:sz w:val="20"/>
          <w:szCs w:val="20"/>
        </w:rPr>
      </w:pPr>
      <w:hyperlink r:id="rId10">
        <w:r>
          <w:rPr>
            <w:color w:val="0563C1"/>
            <w:sz w:val="20"/>
            <w:szCs w:val="20"/>
            <w:u w:val="single"/>
          </w:rPr>
          <w:t>marina.gascon@newlink-group.com</w:t>
        </w:r>
      </w:hyperlink>
      <w:r>
        <w:rPr>
          <w:sz w:val="20"/>
          <w:szCs w:val="20"/>
        </w:rPr>
        <w:t xml:space="preserve"> </w:t>
      </w:r>
    </w:p>
    <w:p w14:paraId="3030BCC2" w14:textId="77777777" w:rsidR="00A81C2C" w:rsidRDefault="00A81C2C" w:rsidP="00A81C2C">
      <w:pPr>
        <w:jc w:val="right"/>
        <w:rPr>
          <w:sz w:val="20"/>
          <w:szCs w:val="20"/>
        </w:rPr>
      </w:pPr>
      <w:r>
        <w:rPr>
          <w:sz w:val="20"/>
          <w:szCs w:val="20"/>
        </w:rPr>
        <w:t xml:space="preserve">+ 34 651 963 459 </w:t>
      </w:r>
    </w:p>
    <w:p w14:paraId="58C631DF" w14:textId="77777777" w:rsidR="00A81C2C" w:rsidRDefault="00A81C2C" w:rsidP="00A81C2C">
      <w:pPr>
        <w:jc w:val="right"/>
        <w:rPr>
          <w:sz w:val="20"/>
          <w:szCs w:val="20"/>
        </w:rPr>
      </w:pPr>
    </w:p>
    <w:p w14:paraId="467423B9" w14:textId="77777777" w:rsidR="00A81C2C" w:rsidRDefault="00A81C2C" w:rsidP="00A81C2C">
      <w:pPr>
        <w:jc w:val="right"/>
        <w:rPr>
          <w:b/>
          <w:sz w:val="20"/>
          <w:szCs w:val="20"/>
        </w:rPr>
      </w:pPr>
      <w:r>
        <w:rPr>
          <w:b/>
          <w:color w:val="434343"/>
          <w:sz w:val="20"/>
          <w:szCs w:val="20"/>
        </w:rPr>
        <w:t>Marí</w:t>
      </w:r>
      <w:r>
        <w:rPr>
          <w:b/>
          <w:sz w:val="20"/>
          <w:szCs w:val="20"/>
        </w:rPr>
        <w:t>a Sánchez-Girón</w:t>
      </w:r>
    </w:p>
    <w:p w14:paraId="708B3AFC" w14:textId="77777777" w:rsidR="00A81C2C" w:rsidRDefault="00A81C2C" w:rsidP="00A81C2C">
      <w:pPr>
        <w:jc w:val="right"/>
        <w:rPr>
          <w:sz w:val="20"/>
          <w:szCs w:val="20"/>
          <w:u w:val="single"/>
        </w:rPr>
      </w:pPr>
      <w:proofErr w:type="gramStart"/>
      <w:r>
        <w:rPr>
          <w:sz w:val="20"/>
          <w:szCs w:val="20"/>
          <w:u w:val="single"/>
        </w:rPr>
        <w:t>maria.sanchez</w:t>
      </w:r>
      <w:proofErr w:type="gramEnd"/>
      <w:r>
        <w:rPr>
          <w:sz w:val="20"/>
          <w:szCs w:val="20"/>
          <w:u w:val="single"/>
        </w:rPr>
        <w:t>-giron</w:t>
      </w:r>
      <w:hyperlink r:id="rId11">
        <w:r>
          <w:rPr>
            <w:color w:val="0563C1"/>
            <w:sz w:val="20"/>
            <w:szCs w:val="20"/>
            <w:u w:val="single"/>
          </w:rPr>
          <w:t>@newlink-group.com</w:t>
        </w:r>
      </w:hyperlink>
    </w:p>
    <w:p w14:paraId="2862BA07" w14:textId="77777777" w:rsidR="00A81C2C" w:rsidRDefault="00A81C2C" w:rsidP="00A81C2C">
      <w:pPr>
        <w:jc w:val="right"/>
        <w:rPr>
          <w:sz w:val="20"/>
          <w:szCs w:val="20"/>
          <w:u w:val="single"/>
        </w:rPr>
      </w:pPr>
      <w:r>
        <w:rPr>
          <w:sz w:val="20"/>
          <w:szCs w:val="20"/>
        </w:rPr>
        <w:t>+34 653 125 545</w:t>
      </w:r>
    </w:p>
    <w:p w14:paraId="6E876858" w14:textId="77777777" w:rsidR="00A81C2C" w:rsidRDefault="00A81C2C" w:rsidP="00A81C2C"/>
    <w:p w14:paraId="5BBAF4F3" w14:textId="77777777" w:rsidR="00A81C2C" w:rsidRDefault="00A81C2C" w:rsidP="00A81C2C">
      <w:pPr>
        <w:ind w:left="720"/>
        <w:jc w:val="both"/>
      </w:pPr>
    </w:p>
    <w:p w14:paraId="2E53E738" w14:textId="77777777" w:rsidR="00A81C2C" w:rsidRDefault="00A81C2C" w:rsidP="00A81C2C">
      <w:pPr>
        <w:pBdr>
          <w:top w:val="nil"/>
          <w:left w:val="nil"/>
          <w:bottom w:val="nil"/>
          <w:right w:val="nil"/>
          <w:between w:val="nil"/>
        </w:pBdr>
        <w:ind w:left="720"/>
        <w:jc w:val="both"/>
      </w:pPr>
    </w:p>
    <w:p w14:paraId="5CA9D2EA" w14:textId="4DA1E6BE" w:rsidR="00024535" w:rsidRPr="00C07868" w:rsidRDefault="00024535" w:rsidP="00F34C52">
      <w:pPr>
        <w:spacing w:line="276" w:lineRule="auto"/>
        <w:ind w:left="720" w:hanging="720"/>
        <w:jc w:val="center"/>
        <w:rPr>
          <w:rFonts w:ascii="Century Gothic" w:eastAsia="Century Gothic" w:hAnsi="Century Gothic" w:cs="Century Gothic"/>
          <w:b/>
          <w:color w:val="006600"/>
          <w:sz w:val="34"/>
          <w:szCs w:val="34"/>
        </w:rPr>
      </w:pPr>
    </w:p>
    <w:sectPr w:rsidR="00024535" w:rsidRPr="00C07868">
      <w:headerReference w:type="default" r:id="rId12"/>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1F7E5" w14:textId="77777777" w:rsidR="00A230E7" w:rsidRDefault="00A230E7">
      <w:r>
        <w:separator/>
      </w:r>
    </w:p>
  </w:endnote>
  <w:endnote w:type="continuationSeparator" w:id="0">
    <w:p w14:paraId="03B0D0C6" w14:textId="77777777" w:rsidR="00A230E7" w:rsidRDefault="00A230E7">
      <w:r>
        <w:continuationSeparator/>
      </w:r>
    </w:p>
  </w:endnote>
  <w:endnote w:type="continuationNotice" w:id="1">
    <w:p w14:paraId="60075C98" w14:textId="77777777" w:rsidR="00A230E7" w:rsidRDefault="00A230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0578A" w14:textId="77777777" w:rsidR="00A230E7" w:rsidRDefault="00A230E7">
      <w:r>
        <w:separator/>
      </w:r>
    </w:p>
  </w:footnote>
  <w:footnote w:type="continuationSeparator" w:id="0">
    <w:p w14:paraId="3409E3B4" w14:textId="77777777" w:rsidR="00A230E7" w:rsidRDefault="00A230E7">
      <w:r>
        <w:continuationSeparator/>
      </w:r>
    </w:p>
  </w:footnote>
  <w:footnote w:type="continuationNotice" w:id="1">
    <w:p w14:paraId="666A946A" w14:textId="77777777" w:rsidR="00A230E7" w:rsidRDefault="00A230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9D316" w14:textId="77777777" w:rsidR="00024535" w:rsidRDefault="008F6D87">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14:anchorId="5CA9D317" wp14:editId="5CA9D318">
          <wp:extent cx="1581524" cy="615162"/>
          <wp:effectExtent l="0" t="0" r="0" b="0"/>
          <wp:docPr id="17069348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81524" cy="61516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0DB7"/>
    <w:multiLevelType w:val="multilevel"/>
    <w:tmpl w:val="95F4189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BF141A1"/>
    <w:multiLevelType w:val="multilevel"/>
    <w:tmpl w:val="02E0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7749C"/>
    <w:multiLevelType w:val="multilevel"/>
    <w:tmpl w:val="A5DA22E6"/>
    <w:lvl w:ilvl="0">
      <w:numFmt w:val="bullet"/>
      <w:lvlText w:val="-"/>
      <w:lvlJc w:val="left"/>
      <w:pPr>
        <w:ind w:left="720" w:hanging="360"/>
      </w:pPr>
      <w:rPr>
        <w:rFonts w:ascii="Century Gothic" w:eastAsia="Century Gothic" w:hAnsi="Century Gothic" w:cs="Century Gothic"/>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953FEE"/>
    <w:multiLevelType w:val="multilevel"/>
    <w:tmpl w:val="9492249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9B50E1"/>
    <w:multiLevelType w:val="multilevel"/>
    <w:tmpl w:val="1084D484"/>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898383A"/>
    <w:multiLevelType w:val="multilevel"/>
    <w:tmpl w:val="6EA0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F70E77"/>
    <w:multiLevelType w:val="multilevel"/>
    <w:tmpl w:val="2CFE6C44"/>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07C3898"/>
    <w:multiLevelType w:val="multilevel"/>
    <w:tmpl w:val="AFA27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8D359F"/>
    <w:multiLevelType w:val="multilevel"/>
    <w:tmpl w:val="B8CAB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690E6D"/>
    <w:multiLevelType w:val="multilevel"/>
    <w:tmpl w:val="55A6305E"/>
    <w:lvl w:ilvl="0">
      <w:numFmt w:val="bullet"/>
      <w:lvlText w:val="-"/>
      <w:lvlJc w:val="left"/>
      <w:pPr>
        <w:ind w:left="720" w:hanging="360"/>
      </w:pPr>
      <w:rPr>
        <w:rFonts w:ascii="Century Gothic" w:eastAsia="Century Gothic" w:hAnsi="Century Gothic" w:cs="Century Gothic"/>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A0C67FE"/>
    <w:multiLevelType w:val="multilevel"/>
    <w:tmpl w:val="6D143B44"/>
    <w:lvl w:ilvl="0">
      <w:numFmt w:val="bullet"/>
      <w:lvlText w:val="-"/>
      <w:lvlJc w:val="left"/>
      <w:pPr>
        <w:ind w:left="720" w:hanging="360"/>
      </w:pPr>
      <w:rPr>
        <w:rFonts w:ascii="Century Gothic" w:eastAsia="Century Gothic" w:hAnsi="Century Gothic" w:cs="Century Gothic"/>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CC72639"/>
    <w:multiLevelType w:val="multilevel"/>
    <w:tmpl w:val="3160B208"/>
    <w:lvl w:ilvl="0">
      <w:numFmt w:val="bullet"/>
      <w:lvlText w:val="-"/>
      <w:lvlJc w:val="left"/>
      <w:pPr>
        <w:ind w:left="720" w:hanging="360"/>
      </w:pPr>
      <w:rPr>
        <w:rFonts w:ascii="Century Gothic" w:eastAsia="Century Gothic" w:hAnsi="Century Gothic" w:cs="Century Gothic"/>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12621860">
    <w:abstractNumId w:val="10"/>
  </w:num>
  <w:num w:numId="2" w16cid:durableId="1610812776">
    <w:abstractNumId w:val="4"/>
  </w:num>
  <w:num w:numId="3" w16cid:durableId="872839031">
    <w:abstractNumId w:val="2"/>
  </w:num>
  <w:num w:numId="4" w16cid:durableId="1667122972">
    <w:abstractNumId w:val="6"/>
  </w:num>
  <w:num w:numId="5" w16cid:durableId="1301957067">
    <w:abstractNumId w:val="3"/>
  </w:num>
  <w:num w:numId="6" w16cid:durableId="1952470048">
    <w:abstractNumId w:val="0"/>
  </w:num>
  <w:num w:numId="7" w16cid:durableId="1765149490">
    <w:abstractNumId w:val="11"/>
  </w:num>
  <w:num w:numId="8" w16cid:durableId="885407853">
    <w:abstractNumId w:val="7"/>
  </w:num>
  <w:num w:numId="9" w16cid:durableId="1037005659">
    <w:abstractNumId w:val="8"/>
  </w:num>
  <w:num w:numId="10" w16cid:durableId="2096583682">
    <w:abstractNumId w:val="5"/>
  </w:num>
  <w:num w:numId="11" w16cid:durableId="886571691">
    <w:abstractNumId w:val="1"/>
  </w:num>
  <w:num w:numId="12" w16cid:durableId="5340033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535"/>
    <w:rsid w:val="00024535"/>
    <w:rsid w:val="0002693A"/>
    <w:rsid w:val="00026D05"/>
    <w:rsid w:val="00034399"/>
    <w:rsid w:val="00053613"/>
    <w:rsid w:val="000548CD"/>
    <w:rsid w:val="00062299"/>
    <w:rsid w:val="0006713D"/>
    <w:rsid w:val="000B7D90"/>
    <w:rsid w:val="000E6734"/>
    <w:rsid w:val="00105453"/>
    <w:rsid w:val="001572C8"/>
    <w:rsid w:val="00180EDA"/>
    <w:rsid w:val="00186CEA"/>
    <w:rsid w:val="001931F7"/>
    <w:rsid w:val="001C5AB3"/>
    <w:rsid w:val="001F65EB"/>
    <w:rsid w:val="00224A4D"/>
    <w:rsid w:val="002354F7"/>
    <w:rsid w:val="002A5A47"/>
    <w:rsid w:val="002E31C7"/>
    <w:rsid w:val="002E38C9"/>
    <w:rsid w:val="00324326"/>
    <w:rsid w:val="003555DB"/>
    <w:rsid w:val="003937FC"/>
    <w:rsid w:val="003A6ED1"/>
    <w:rsid w:val="003E02BD"/>
    <w:rsid w:val="00412786"/>
    <w:rsid w:val="00414D03"/>
    <w:rsid w:val="004318A8"/>
    <w:rsid w:val="004348FD"/>
    <w:rsid w:val="00442455"/>
    <w:rsid w:val="00451C57"/>
    <w:rsid w:val="004D2E4E"/>
    <w:rsid w:val="004E55A7"/>
    <w:rsid w:val="00503E12"/>
    <w:rsid w:val="005537DA"/>
    <w:rsid w:val="00564BBC"/>
    <w:rsid w:val="005A7982"/>
    <w:rsid w:val="005D5663"/>
    <w:rsid w:val="005D5DB2"/>
    <w:rsid w:val="005E6538"/>
    <w:rsid w:val="0063490D"/>
    <w:rsid w:val="00640512"/>
    <w:rsid w:val="00641F21"/>
    <w:rsid w:val="006D47CD"/>
    <w:rsid w:val="006F75FE"/>
    <w:rsid w:val="00716427"/>
    <w:rsid w:val="007210E5"/>
    <w:rsid w:val="00725450"/>
    <w:rsid w:val="007D3C45"/>
    <w:rsid w:val="007E4E0B"/>
    <w:rsid w:val="007F2375"/>
    <w:rsid w:val="008018EC"/>
    <w:rsid w:val="00802BFE"/>
    <w:rsid w:val="00831791"/>
    <w:rsid w:val="00836096"/>
    <w:rsid w:val="00837773"/>
    <w:rsid w:val="0088465C"/>
    <w:rsid w:val="00892941"/>
    <w:rsid w:val="008962FB"/>
    <w:rsid w:val="008A1A43"/>
    <w:rsid w:val="008B66EB"/>
    <w:rsid w:val="008C79A6"/>
    <w:rsid w:val="008D0AA4"/>
    <w:rsid w:val="008F6D87"/>
    <w:rsid w:val="00916866"/>
    <w:rsid w:val="00957E9B"/>
    <w:rsid w:val="009925B0"/>
    <w:rsid w:val="009A2E32"/>
    <w:rsid w:val="009C4890"/>
    <w:rsid w:val="009D107E"/>
    <w:rsid w:val="00A06153"/>
    <w:rsid w:val="00A10D28"/>
    <w:rsid w:val="00A2052F"/>
    <w:rsid w:val="00A218B5"/>
    <w:rsid w:val="00A230E7"/>
    <w:rsid w:val="00A301CE"/>
    <w:rsid w:val="00A31F9C"/>
    <w:rsid w:val="00A32B1B"/>
    <w:rsid w:val="00A35588"/>
    <w:rsid w:val="00A46A5C"/>
    <w:rsid w:val="00A46F3C"/>
    <w:rsid w:val="00A4714D"/>
    <w:rsid w:val="00A4734F"/>
    <w:rsid w:val="00A71D9D"/>
    <w:rsid w:val="00A81C2C"/>
    <w:rsid w:val="00AB2536"/>
    <w:rsid w:val="00AB65A6"/>
    <w:rsid w:val="00AD7D9E"/>
    <w:rsid w:val="00AF416E"/>
    <w:rsid w:val="00B12CE1"/>
    <w:rsid w:val="00B47EEB"/>
    <w:rsid w:val="00B676F0"/>
    <w:rsid w:val="00B717A8"/>
    <w:rsid w:val="00B739E2"/>
    <w:rsid w:val="00B779D2"/>
    <w:rsid w:val="00B97761"/>
    <w:rsid w:val="00BB70AA"/>
    <w:rsid w:val="00BF130B"/>
    <w:rsid w:val="00BF2F90"/>
    <w:rsid w:val="00C01E9A"/>
    <w:rsid w:val="00C07868"/>
    <w:rsid w:val="00C168A0"/>
    <w:rsid w:val="00C31B52"/>
    <w:rsid w:val="00C81511"/>
    <w:rsid w:val="00C875A8"/>
    <w:rsid w:val="00C930CE"/>
    <w:rsid w:val="00CB28E8"/>
    <w:rsid w:val="00CD0FF1"/>
    <w:rsid w:val="00CE14FA"/>
    <w:rsid w:val="00CE52F4"/>
    <w:rsid w:val="00CE6ED1"/>
    <w:rsid w:val="00D318D1"/>
    <w:rsid w:val="00D50122"/>
    <w:rsid w:val="00D750F8"/>
    <w:rsid w:val="00D825FD"/>
    <w:rsid w:val="00DA4841"/>
    <w:rsid w:val="00DA4876"/>
    <w:rsid w:val="00DD6737"/>
    <w:rsid w:val="00E06948"/>
    <w:rsid w:val="00E27673"/>
    <w:rsid w:val="00E4624E"/>
    <w:rsid w:val="00EC42DC"/>
    <w:rsid w:val="00EE25C2"/>
    <w:rsid w:val="00F06B47"/>
    <w:rsid w:val="00F26E20"/>
    <w:rsid w:val="00F34C52"/>
    <w:rsid w:val="00FA7CF8"/>
    <w:rsid w:val="00FB0B93"/>
    <w:rsid w:val="00FB72D2"/>
    <w:rsid w:val="00FE7556"/>
    <w:rsid w:val="00FF451A"/>
    <w:rsid w:val="00FF5131"/>
    <w:rsid w:val="1FA94E2C"/>
    <w:rsid w:val="2AEE7912"/>
    <w:rsid w:val="32EA3F6E"/>
    <w:rsid w:val="3626A802"/>
    <w:rsid w:val="3B7F1350"/>
    <w:rsid w:val="3C186B9F"/>
    <w:rsid w:val="5A147B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9D2EA"/>
  <w15:docId w15:val="{7113A885-1447-4ED3-9925-E18EDE58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EDA"/>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8B593A"/>
    <w:pPr>
      <w:tabs>
        <w:tab w:val="center" w:pos="4252"/>
        <w:tab w:val="right" w:pos="8504"/>
      </w:tabs>
    </w:pPr>
  </w:style>
  <w:style w:type="character" w:customStyle="1" w:styleId="EncabezadoCar">
    <w:name w:val="Encabezado Car"/>
    <w:basedOn w:val="Fuentedeprrafopredeter"/>
    <w:link w:val="Encabezado"/>
    <w:uiPriority w:val="99"/>
    <w:rsid w:val="008B593A"/>
    <w:rPr>
      <w:rFonts w:ascii="Calibri" w:hAnsi="Calibri" w:cs="Calibri"/>
    </w:rPr>
  </w:style>
  <w:style w:type="paragraph" w:styleId="Piedepgina">
    <w:name w:val="footer"/>
    <w:basedOn w:val="Normal"/>
    <w:link w:val="PiedepginaCar"/>
    <w:uiPriority w:val="99"/>
    <w:unhideWhenUsed/>
    <w:rsid w:val="008B593A"/>
    <w:pPr>
      <w:tabs>
        <w:tab w:val="center" w:pos="4252"/>
        <w:tab w:val="right" w:pos="8504"/>
      </w:tabs>
    </w:pPr>
  </w:style>
  <w:style w:type="character" w:customStyle="1" w:styleId="PiedepginaCar">
    <w:name w:val="Pie de página Car"/>
    <w:basedOn w:val="Fuentedeprrafopredeter"/>
    <w:link w:val="Piedepgina"/>
    <w:uiPriority w:val="99"/>
    <w:rsid w:val="008B593A"/>
    <w:rPr>
      <w:rFonts w:ascii="Calibri" w:hAnsi="Calibri" w:cs="Calibri"/>
    </w:rPr>
  </w:style>
  <w:style w:type="character" w:styleId="Hipervnculo">
    <w:name w:val="Hyperlink"/>
    <w:basedOn w:val="Fuentedeprrafopredeter"/>
    <w:uiPriority w:val="99"/>
    <w:unhideWhenUsed/>
    <w:rsid w:val="008B593A"/>
    <w:rPr>
      <w:color w:val="0563C1" w:themeColor="hyperlink"/>
      <w:u w:val="single"/>
    </w:rPr>
  </w:style>
  <w:style w:type="character" w:styleId="Mencinsinresolver">
    <w:name w:val="Unresolved Mention"/>
    <w:basedOn w:val="Fuentedeprrafopredeter"/>
    <w:uiPriority w:val="99"/>
    <w:semiHidden/>
    <w:unhideWhenUsed/>
    <w:rsid w:val="008B593A"/>
    <w:rPr>
      <w:color w:val="605E5C"/>
      <w:shd w:val="clear" w:color="auto" w:fill="E1DFDD"/>
    </w:rPr>
  </w:style>
  <w:style w:type="paragraph" w:styleId="Prrafodelista">
    <w:name w:val="List Paragraph"/>
    <w:basedOn w:val="Normal"/>
    <w:uiPriority w:val="34"/>
    <w:qFormat/>
    <w:rsid w:val="001A6FCA"/>
    <w:pPr>
      <w:ind w:left="720"/>
      <w:contextualSpacing/>
    </w:pPr>
  </w:style>
  <w:style w:type="paragraph" w:styleId="Revisin">
    <w:name w:val="Revision"/>
    <w:hidden/>
    <w:uiPriority w:val="99"/>
    <w:semiHidden/>
    <w:rsid w:val="00321655"/>
  </w:style>
  <w:style w:type="character" w:styleId="Refdecomentario">
    <w:name w:val="annotation reference"/>
    <w:basedOn w:val="Fuentedeprrafopredeter"/>
    <w:uiPriority w:val="99"/>
    <w:semiHidden/>
    <w:unhideWhenUsed/>
    <w:rsid w:val="0077075C"/>
    <w:rPr>
      <w:sz w:val="16"/>
      <w:szCs w:val="16"/>
    </w:rPr>
  </w:style>
  <w:style w:type="paragraph" w:styleId="Textocomentario">
    <w:name w:val="annotation text"/>
    <w:basedOn w:val="Normal"/>
    <w:link w:val="TextocomentarioCar"/>
    <w:uiPriority w:val="99"/>
    <w:unhideWhenUsed/>
    <w:rsid w:val="0077075C"/>
    <w:rPr>
      <w:sz w:val="20"/>
      <w:szCs w:val="20"/>
    </w:rPr>
  </w:style>
  <w:style w:type="character" w:customStyle="1" w:styleId="TextocomentarioCar">
    <w:name w:val="Texto comentario Car"/>
    <w:basedOn w:val="Fuentedeprrafopredeter"/>
    <w:link w:val="Textocomentario"/>
    <w:uiPriority w:val="99"/>
    <w:rsid w:val="0077075C"/>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77075C"/>
    <w:rPr>
      <w:b/>
      <w:bCs/>
    </w:rPr>
  </w:style>
  <w:style w:type="character" w:customStyle="1" w:styleId="AsuntodelcomentarioCar">
    <w:name w:val="Asunto del comentario Car"/>
    <w:basedOn w:val="TextocomentarioCar"/>
    <w:link w:val="Asuntodelcomentario"/>
    <w:uiPriority w:val="99"/>
    <w:semiHidden/>
    <w:rsid w:val="0077075C"/>
    <w:rPr>
      <w:rFonts w:ascii="Calibri" w:hAnsi="Calibri" w:cs="Calibri"/>
      <w:b/>
      <w:bCs/>
      <w:sz w:val="20"/>
      <w:szCs w:val="20"/>
    </w:rPr>
  </w:style>
  <w:style w:type="character" w:styleId="Hipervnculovisitado">
    <w:name w:val="FollowedHyperlink"/>
    <w:basedOn w:val="Fuentedeprrafopredeter"/>
    <w:uiPriority w:val="99"/>
    <w:semiHidden/>
    <w:unhideWhenUsed/>
    <w:rsid w:val="00930D34"/>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50383">
      <w:bodyDiv w:val="1"/>
      <w:marLeft w:val="0"/>
      <w:marRight w:val="0"/>
      <w:marTop w:val="0"/>
      <w:marBottom w:val="0"/>
      <w:divBdr>
        <w:top w:val="none" w:sz="0" w:space="0" w:color="auto"/>
        <w:left w:val="none" w:sz="0" w:space="0" w:color="auto"/>
        <w:bottom w:val="none" w:sz="0" w:space="0" w:color="auto"/>
        <w:right w:val="none" w:sz="0" w:space="0" w:color="auto"/>
      </w:divBdr>
      <w:divsChild>
        <w:div w:id="1106845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550951">
      <w:bodyDiv w:val="1"/>
      <w:marLeft w:val="0"/>
      <w:marRight w:val="0"/>
      <w:marTop w:val="0"/>
      <w:marBottom w:val="0"/>
      <w:divBdr>
        <w:top w:val="none" w:sz="0" w:space="0" w:color="auto"/>
        <w:left w:val="none" w:sz="0" w:space="0" w:color="auto"/>
        <w:bottom w:val="none" w:sz="0" w:space="0" w:color="auto"/>
        <w:right w:val="none" w:sz="0" w:space="0" w:color="auto"/>
      </w:divBdr>
    </w:div>
    <w:div w:id="164246248">
      <w:bodyDiv w:val="1"/>
      <w:marLeft w:val="0"/>
      <w:marRight w:val="0"/>
      <w:marTop w:val="0"/>
      <w:marBottom w:val="0"/>
      <w:divBdr>
        <w:top w:val="none" w:sz="0" w:space="0" w:color="auto"/>
        <w:left w:val="none" w:sz="0" w:space="0" w:color="auto"/>
        <w:bottom w:val="none" w:sz="0" w:space="0" w:color="auto"/>
        <w:right w:val="none" w:sz="0" w:space="0" w:color="auto"/>
      </w:divBdr>
    </w:div>
    <w:div w:id="524634898">
      <w:bodyDiv w:val="1"/>
      <w:marLeft w:val="0"/>
      <w:marRight w:val="0"/>
      <w:marTop w:val="0"/>
      <w:marBottom w:val="0"/>
      <w:divBdr>
        <w:top w:val="none" w:sz="0" w:space="0" w:color="auto"/>
        <w:left w:val="none" w:sz="0" w:space="0" w:color="auto"/>
        <w:bottom w:val="none" w:sz="0" w:space="0" w:color="auto"/>
        <w:right w:val="none" w:sz="0" w:space="0" w:color="auto"/>
      </w:divBdr>
    </w:div>
    <w:div w:id="966164368">
      <w:bodyDiv w:val="1"/>
      <w:marLeft w:val="0"/>
      <w:marRight w:val="0"/>
      <w:marTop w:val="0"/>
      <w:marBottom w:val="0"/>
      <w:divBdr>
        <w:top w:val="none" w:sz="0" w:space="0" w:color="auto"/>
        <w:left w:val="none" w:sz="0" w:space="0" w:color="auto"/>
        <w:bottom w:val="none" w:sz="0" w:space="0" w:color="auto"/>
        <w:right w:val="none" w:sz="0" w:space="0" w:color="auto"/>
      </w:divBdr>
    </w:div>
    <w:div w:id="1010837398">
      <w:bodyDiv w:val="1"/>
      <w:marLeft w:val="0"/>
      <w:marRight w:val="0"/>
      <w:marTop w:val="0"/>
      <w:marBottom w:val="0"/>
      <w:divBdr>
        <w:top w:val="none" w:sz="0" w:space="0" w:color="auto"/>
        <w:left w:val="none" w:sz="0" w:space="0" w:color="auto"/>
        <w:bottom w:val="none" w:sz="0" w:space="0" w:color="auto"/>
        <w:right w:val="none" w:sz="0" w:space="0" w:color="auto"/>
      </w:divBdr>
    </w:div>
    <w:div w:id="1404063145">
      <w:bodyDiv w:val="1"/>
      <w:marLeft w:val="0"/>
      <w:marRight w:val="0"/>
      <w:marTop w:val="0"/>
      <w:marBottom w:val="0"/>
      <w:divBdr>
        <w:top w:val="none" w:sz="0" w:space="0" w:color="auto"/>
        <w:left w:val="none" w:sz="0" w:space="0" w:color="auto"/>
        <w:bottom w:val="none" w:sz="0" w:space="0" w:color="auto"/>
        <w:right w:val="none" w:sz="0" w:space="0" w:color="auto"/>
      </w:divBdr>
    </w:div>
    <w:div w:id="1427729069">
      <w:bodyDiv w:val="1"/>
      <w:marLeft w:val="0"/>
      <w:marRight w:val="0"/>
      <w:marTop w:val="0"/>
      <w:marBottom w:val="0"/>
      <w:divBdr>
        <w:top w:val="none" w:sz="0" w:space="0" w:color="auto"/>
        <w:left w:val="none" w:sz="0" w:space="0" w:color="auto"/>
        <w:bottom w:val="none" w:sz="0" w:space="0" w:color="auto"/>
        <w:right w:val="none" w:sz="0" w:space="0" w:color="auto"/>
      </w:divBdr>
      <w:divsChild>
        <w:div w:id="359207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4687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0" Type="http://schemas.openxmlformats.org/officeDocument/2006/relationships/hyperlink" Target="mailto:marina.gascon@newlink-group.com" TargetMode="External"/><Relationship Id="rId4" Type="http://schemas.openxmlformats.org/officeDocument/2006/relationships/styles" Target="styles.xml"/><Relationship Id="rId9" Type="http://schemas.openxmlformats.org/officeDocument/2006/relationships/hyperlink" Target="https://www.wearephenix.com/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83lCNarhFO8arw3oUxgT8FAGLw==">CgMxLjAyCGguZ2pkZ3hzOABqMQoUc3VnZ2VzdC52YmV2OG1lZ3NoNDISGU1BUklBIE1VUklBTk8gUFVJR0RPTExFUlNqMQoUc3VnZ2VzdC45ZjRxeTl0ZW16MzUSGU1BUklBIE1VUklBTk8gUFVJR0RPTExFUlNyITF6ZWRGLUJ5a0hjUlBnS1ZsVlRaWUFzNk9QQUJVdF9CTQ==</go:docsCustomData>
</go:gDocsCustomXmlDataStorage>
</file>

<file path=customXml/itemProps1.xml><?xml version="1.0" encoding="utf-8"?>
<ds:datastoreItem xmlns:ds="http://schemas.openxmlformats.org/officeDocument/2006/customXml" ds:itemID="{27045DAA-86A2-4F1D-9CCA-7DECC4A608E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907</Words>
  <Characters>4993</Characters>
  <Application>Microsoft Office Word</Application>
  <DocSecurity>0</DocSecurity>
  <Lines>41</Lines>
  <Paragraphs>11</Paragraphs>
  <ScaleCrop>false</ScaleCrop>
  <Company/>
  <LinksUpToDate>false</LinksUpToDate>
  <CharactersWithSpaces>5889</CharactersWithSpaces>
  <SharedDoc>false</SharedDoc>
  <HLinks>
    <vt:vector size="42" baseType="variant">
      <vt:variant>
        <vt:i4>3080313</vt:i4>
      </vt:variant>
      <vt:variant>
        <vt:i4>18</vt:i4>
      </vt:variant>
      <vt:variant>
        <vt:i4>0</vt:i4>
      </vt:variant>
      <vt:variant>
        <vt:i4>5</vt:i4>
      </vt:variant>
      <vt:variant>
        <vt:lpwstr>about:blank</vt:lpwstr>
      </vt:variant>
      <vt:variant>
        <vt:lpwstr/>
      </vt:variant>
      <vt:variant>
        <vt:i4>3932180</vt:i4>
      </vt:variant>
      <vt:variant>
        <vt:i4>15</vt:i4>
      </vt:variant>
      <vt:variant>
        <vt:i4>0</vt:i4>
      </vt:variant>
      <vt:variant>
        <vt:i4>5</vt:i4>
      </vt:variant>
      <vt:variant>
        <vt:lpwstr>mailto:marina.gascon@newlink-group.com</vt:lpwstr>
      </vt:variant>
      <vt:variant>
        <vt:lpwstr/>
      </vt:variant>
      <vt:variant>
        <vt:i4>8323187</vt:i4>
      </vt:variant>
      <vt:variant>
        <vt:i4>12</vt:i4>
      </vt:variant>
      <vt:variant>
        <vt:i4>0</vt:i4>
      </vt:variant>
      <vt:variant>
        <vt:i4>5</vt:i4>
      </vt:variant>
      <vt:variant>
        <vt:lpwstr>https://www.boe.es/buscar/doc.php?id=DOUE-L-2002-80201</vt:lpwstr>
      </vt:variant>
      <vt:variant>
        <vt:lpwstr/>
      </vt:variant>
      <vt:variant>
        <vt:i4>1114176</vt:i4>
      </vt:variant>
      <vt:variant>
        <vt:i4>9</vt:i4>
      </vt:variant>
      <vt:variant>
        <vt:i4>0</vt:i4>
      </vt:variant>
      <vt:variant>
        <vt:i4>5</vt:i4>
      </vt:variant>
      <vt:variant>
        <vt:lpwstr>https://www.boe.es/buscar/act.php?id=BOE-A-2022-5809</vt:lpwstr>
      </vt:variant>
      <vt:variant>
        <vt:lpwstr/>
      </vt:variant>
      <vt:variant>
        <vt:i4>8192035</vt:i4>
      </vt:variant>
      <vt:variant>
        <vt:i4>6</vt:i4>
      </vt:variant>
      <vt:variant>
        <vt:i4>0</vt:i4>
      </vt:variant>
      <vt:variant>
        <vt:i4>5</vt:i4>
      </vt:variant>
      <vt:variant>
        <vt:lpwstr>https://bamadrid.org/reforma-ley-de-mecenazgo/</vt:lpwstr>
      </vt:variant>
      <vt:variant>
        <vt:lpwstr/>
      </vt:variant>
      <vt:variant>
        <vt:i4>1048659</vt:i4>
      </vt:variant>
      <vt:variant>
        <vt:i4>3</vt:i4>
      </vt:variant>
      <vt:variant>
        <vt:i4>0</vt:i4>
      </vt:variant>
      <vt:variant>
        <vt:i4>5</vt:i4>
      </vt:variant>
      <vt:variant>
        <vt:lpwstr>https://www.boe.es/buscar/doc.php?id=BOE-A-2020-3955</vt:lpwstr>
      </vt:variant>
      <vt:variant>
        <vt:lpwstr/>
      </vt:variant>
      <vt:variant>
        <vt:i4>4063270</vt:i4>
      </vt:variant>
      <vt:variant>
        <vt:i4>0</vt:i4>
      </vt:variant>
      <vt:variant>
        <vt:i4>0</vt:i4>
      </vt:variant>
      <vt:variant>
        <vt:i4>5</vt:i4>
      </vt:variant>
      <vt:variant>
        <vt:lpwstr>https://www.wearephenix.com/es/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Garcia Forte</dc:creator>
  <cp:keywords/>
  <cp:lastModifiedBy>María Sánchez-Girón</cp:lastModifiedBy>
  <cp:revision>117</cp:revision>
  <dcterms:created xsi:type="dcterms:W3CDTF">2023-02-07T23:17:00Z</dcterms:created>
  <dcterms:modified xsi:type="dcterms:W3CDTF">2024-08-30T14:10:00Z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c31e87f53e1255a219a30df39a4368cc32384ae3d911ec2c8be9a442dfb7a938</vt:lpwstr>
  </property>
</Properties>
</file>