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jc w:val="center"/>
        <w:rPr>
          <w:rFonts w:ascii="Montserrat" w:cs="Montserrat" w:eastAsia="Montserrat" w:hAnsi="Montserrat"/>
          <w:b w:val="1"/>
          <w:color w:val="ff0000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36"/>
          <w:szCs w:val="36"/>
          <w:rtl w:val="0"/>
        </w:rPr>
        <w:t xml:space="preserve">Dia rompe la tendencia: gana cuota en los últimos 12 meses, por primera vez desde hace más de 8 años</w:t>
      </w: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b w:val="1"/>
          <w:color w:val="222222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0"/>
          <w:szCs w:val="20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 La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 compañía consolida la cuarta posición en el mercado de la distribución alcanzando un 5% de cuota en el  mes de marzo, lo que supone un incremento del 0,1pp con respecto al mismo periodo del año anterior, según datos de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Nielsen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IQ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vertAlign w:val="superscript"/>
        </w:rPr>
        <w:footnoteReference w:customMarkFollows="0" w:id="0"/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, que mide la evolución de las ventas de los diferentes playe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r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s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 del sector.</w:t>
      </w:r>
    </w:p>
    <w:p w:rsidR="00000000" w:rsidDel="00000000" w:rsidP="00000000" w:rsidRDefault="00000000" w:rsidRPr="00000000" w14:paraId="0000000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b w:val="1"/>
          <w:color w:val="ff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0"/>
          <w:szCs w:val="20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Gracias a esta buena evolución,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Dia registra un incremento +0,1pp en el acumulado del primer trimestre de 2025 vs 2024, ganando cuota de mercado en los últimos 12 meses (TAM)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vertAlign w:val="superscript"/>
        </w:rPr>
        <w:footnoteReference w:customMarkFollows="0" w:id="1"/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 por primera vez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 al menos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 desde 2017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b w:val="1"/>
          <w:color w:val="222222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0"/>
          <w:szCs w:val="20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Esta recuperación se debe, en gran parte, a la apuesta de la compañía por el proyecto “Nueva Calidad Dia”, combinando una marca propia de máxima calidad junto con las mejores marcas internacionales.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21 de abril de 2025,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highlight w:val="white"/>
          <w:rtl w:val="0"/>
        </w:rPr>
        <w:t xml:space="preserve"> Las Rozas de Madrid. 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Dia continúa avanzando en la consolidación de su modelo de proximidad a nivel nacional, reforzando su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cuarta posición 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en el sector de la distribución. La compañía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ha alcanzado un 5% de cuota de mercado en el mes de marzo de 2025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, un +0,1pp frente al mismo periodo del año anterior y ha 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highlight w:val="white"/>
          <w:rtl w:val="0"/>
        </w:rPr>
        <w:t xml:space="preserve">registrado una evolución positiva de +0,1pp en el acumulado del primer trimestre de 2025 vs 2024.</w:t>
      </w:r>
    </w:p>
    <w:p w:rsidR="00000000" w:rsidDel="00000000" w:rsidP="00000000" w:rsidRDefault="00000000" w:rsidRPr="00000000" w14:paraId="0000000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b w:val="1"/>
          <w:color w:val="ff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highlight w:val="white"/>
          <w:rtl w:val="0"/>
        </w:rPr>
        <w:t xml:space="preserve">Su crecimiento no ha sido solo en el primer trimestre de este año, sino que lleva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highlight w:val="white"/>
          <w:rtl w:val="0"/>
        </w:rPr>
        <w:t xml:space="preserve">ganando cuota de mercado en los últimos 12 meses (TAM), por primera vez al menos desde 2017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 según los últimos datos ofrecido por NielsenIQ, que se basan en el análisis de las ventas de producto declaradas.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9.1338582677156"/>
        <w:jc w:val="center"/>
        <w:rPr>
          <w:rFonts w:ascii="Montserrat" w:cs="Montserrat" w:eastAsia="Montserrat" w:hAnsi="Montserrat"/>
          <w:b w:val="1"/>
          <w:color w:val="ff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0"/>
          <w:szCs w:val="20"/>
        </w:rPr>
        <w:drawing>
          <wp:inline distB="114300" distT="114300" distL="114300" distR="114300">
            <wp:extent cx="3337088" cy="2500325"/>
            <wp:effectExtent b="0" l="0" r="0" t="0"/>
            <wp:docPr id="198025005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7088" cy="250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b w:val="1"/>
          <w:color w:val="ff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0"/>
          <w:szCs w:val="20"/>
          <w:rtl w:val="0"/>
        </w:rPr>
        <w:t xml:space="preserve">El éxito de una marca propia de la máxima calidad</w:t>
      </w:r>
    </w:p>
    <w:p w:rsidR="00000000" w:rsidDel="00000000" w:rsidP="00000000" w:rsidRDefault="00000000" w:rsidRPr="00000000" w14:paraId="00000009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Este crecimiento sostenido refleja la capacidad para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 adaptarse a las demandas del consumidor y a las tendencias del sector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Uno de los factores determinantes que ha impulsado las ventas de la compañía, y por extensión la recuperación de cuota de mercado, ha sido la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apuesta de la compañía por ofrecer un surtido equilibrado con las mejores marcas de fabricante nacionales e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internacionales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 y una marca propia de la máxima calidad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 a precios asequibles. El éxito de los productos de la “Nueva Calidad Dia” se refleja en sus ventas, que ya representan el 58% de la cesta,  frente al 46,7% de media del sector alcanzado en febrero según datos de NielsenIQ. </w:t>
      </w:r>
    </w:p>
    <w:p w:rsidR="00000000" w:rsidDel="00000000" w:rsidP="00000000" w:rsidRDefault="00000000" w:rsidRPr="00000000" w14:paraId="0000000C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9.1338582677156"/>
        <w:jc w:val="both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A esto se une la libertad de elección asegurada, ya que sus clientes pueden optar entre diferentes marcas de fabricante y los productos de “Nueva Calidad Dia”. El crecimiento del e-commerce también ha sido clave. En este sentido, la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cuota de mercado de Dia en el canal online se situaba en febrero de 2025 en un 8,5%,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 un 0,4% más que en el mismo periodo del año anterior. Estos datos positivos se deben al refuerzo de la compañía de su presencia digital, con el que ya da servicio a más del 84% de la población española, incluyendo cuatro millones de vecinos de municipios de menos de 10.000 habitantes.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9.1338582677156"/>
        <w:jc w:val="both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9.1338582677156"/>
        <w:jc w:val="both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0"/>
          <w:szCs w:val="20"/>
          <w:rtl w:val="0"/>
        </w:rPr>
        <w:t xml:space="preserve">Apuesta por los frescos  y más de 2.400 referencias de “Nueva Calidad Dia”</w:t>
      </w:r>
    </w:p>
    <w:p w:rsidR="00000000" w:rsidDel="00000000" w:rsidP="00000000" w:rsidRDefault="00000000" w:rsidRPr="00000000" w14:paraId="00000010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En su compromiso con la calidad de su surtido, Dia finalizó el pasado año su proyecto de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“Nueva calidad Dia” que ha supuesto la renovación total de los productos de marca Dia, con un claro objetivo: lograr la mayor calidad del mercado.</w:t>
      </w:r>
    </w:p>
    <w:p w:rsidR="00000000" w:rsidDel="00000000" w:rsidP="00000000" w:rsidRDefault="00000000" w:rsidRPr="00000000" w14:paraId="0000001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Tras cuatro años de duro trabajo, Dia consolidó en 2024 la renovación de su marca propia, con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2.400 referencias que combinan tres valores clave: máxima calidad, innovación y creatividad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. Un proceso que ha implicado la revisión de las recetas, con el fin de ofrecer la mejor calidad del mercado apoyándose en una amplia red de proveedores locales.</w:t>
      </w:r>
    </w:p>
    <w:p w:rsidR="00000000" w:rsidDel="00000000" w:rsidP="00000000" w:rsidRDefault="00000000" w:rsidRPr="00000000" w14:paraId="0000001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Esto, combinado con el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equilibrio 50/50 del surtido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 con las principales marcas de fabricante, ha potenciado la libertad del cliente a la hora de elegir los productos que mejor se adapten a sus necesidades y presupuesto, consolidando a la compañía en el mercado de la distribución y conquistando a nuevos clientes. </w:t>
      </w:r>
    </w:p>
    <w:p w:rsidR="00000000" w:rsidDel="00000000" w:rsidP="00000000" w:rsidRDefault="00000000" w:rsidRPr="00000000" w14:paraId="0000001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Además, la renovada propuesta de Dia se distingue por el gran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protagonismo de los productos frescos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, una firme apuesta que ha ganado presencia en el nuevo concepto de tienda, que sitúa a estos alimentos en el centro de los establecimientos, como las frutas y verduras de temporada, los pescados o las carnes frescas de pollo, pavo, conejo, vacuno o porcino de origen España. </w:t>
      </w:r>
    </w:p>
    <w:p w:rsidR="00000000" w:rsidDel="00000000" w:rsidP="00000000" w:rsidRDefault="00000000" w:rsidRPr="00000000" w14:paraId="00000014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De acuerdo con los datos de NielsenIQ, entre los productos destacados que han impulsado esta recuperación se encuentran categorías como la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carne fresca y los yogures, que han experimentado crecimientos significativos tanto en la tienda física como en la tienda online.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 Así, por ejemplo, la cuota de mercado de la carne fresca envasada ha alcanzado una cuota de +0,2 frente al mismo periodo en el año anterior.</w:t>
      </w:r>
    </w:p>
    <w:p w:rsidR="00000000" w:rsidDel="00000000" w:rsidP="00000000" w:rsidRDefault="00000000" w:rsidRPr="00000000" w14:paraId="00000015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240" w:before="240" w:lineRule="auto"/>
        <w:ind w:right="-409.1338582677156"/>
        <w:jc w:val="both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Asimismo, los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0"/>
          <w:szCs w:val="20"/>
          <w:rtl w:val="0"/>
        </w:rPr>
        <w:t xml:space="preserve">productos frescos también son protagonistas del incremento de la cuota de mercado de Dia</w:t>
      </w:r>
      <w:r w:rsidDel="00000000" w:rsidR="00000000" w:rsidRPr="00000000">
        <w:rPr>
          <w:rFonts w:ascii="Montserrat" w:cs="Montserrat" w:eastAsia="Montserrat" w:hAnsi="Montserrat"/>
          <w:color w:val="222222"/>
          <w:sz w:val="20"/>
          <w:szCs w:val="20"/>
          <w:rtl w:val="0"/>
        </w:rPr>
        <w:t xml:space="preserve">, alcanzando un 4,9% en febrero de este año, un 0,2% más de cuota frente al mismo mes de 2024.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0"/>
          <w:szCs w:val="20"/>
          <w:rtl w:val="0"/>
        </w:rPr>
        <w:t xml:space="preserve">Sobre Grupo 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rtl w:val="0"/>
        </w:rPr>
        <w:t xml:space="preserve">Cada día más 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 </w:t>
      </w:r>
    </w:p>
    <w:p w:rsidR="00000000" w:rsidDel="00000000" w:rsidP="00000000" w:rsidRDefault="00000000" w:rsidRPr="00000000" w14:paraId="0000001A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6.901 millones en 2024. </w:t>
      </w:r>
    </w:p>
    <w:p w:rsidR="00000000" w:rsidDel="00000000" w:rsidP="00000000" w:rsidRDefault="00000000" w:rsidRPr="00000000" w14:paraId="0000001C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</w:p>
    <w:p w:rsidR="00000000" w:rsidDel="00000000" w:rsidP="00000000" w:rsidRDefault="00000000" w:rsidRPr="00000000" w14:paraId="0000001E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/>
      </w:pPr>
      <w:r w:rsidDel="00000000" w:rsidR="00000000" w:rsidRPr="00000000">
        <w:rPr>
          <w:rFonts w:ascii="Montserrat" w:cs="Montserrat" w:eastAsia="Montserrat" w:hAnsi="Montserrat"/>
          <w:b w:val="1"/>
          <w:color w:val="0000ff"/>
          <w:sz w:val="16"/>
          <w:szCs w:val="16"/>
          <w:highlight w:val="white"/>
          <w:u w:val="single"/>
          <w:rtl w:val="0"/>
        </w:rPr>
        <w:t xml:space="preserve">https://diacorporate.com/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ab/>
        <w:t xml:space="preserve">       </w:t>
      </w: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highlight w:val="white"/>
          <w:rtl w:val="0"/>
        </w:rPr>
        <w:t xml:space="preserve">#CadaDiaMasCerca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  </w:t>
        <w:tab/>
        <w:tab/>
        <w:t xml:space="preserve"> 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6"/>
          <w:szCs w:val="16"/>
          <w:highlight w:val="white"/>
          <w:rtl w:val="0"/>
        </w:rPr>
        <w:t xml:space="preserve">Linkedin: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Dia Group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951480" cy="917575"/>
                <wp:effectExtent b="0" l="0" r="0" t="0"/>
                <wp:wrapNone/>
                <wp:docPr id="198025004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36935" y="3387888"/>
                          <a:ext cx="281813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Comunicación Dia España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  <w:t xml:space="preserve">comunicacion@diagroup.com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951480" cy="917575"/>
                <wp:effectExtent b="0" l="0" r="0" t="0"/>
                <wp:wrapNone/>
                <wp:docPr id="198025004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1480" cy="917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spacing w:after="120" w:lineRule="auto"/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  <w:rtl w:val="0"/>
        </w:rPr>
        <w:t xml:space="preserve">Dia España</w:t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Raquel González</w:t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sz w:val="16"/>
          <w:szCs w:val="16"/>
        </w:rPr>
      </w:pPr>
      <w:hyperlink r:id="rId11">
        <w:r w:rsidDel="00000000" w:rsidR="00000000" w:rsidRPr="00000000">
          <w:rPr>
            <w:rFonts w:ascii="Montserrat" w:cs="Montserrat" w:eastAsia="Montserrat" w:hAnsi="Montserrat"/>
            <w:color w:val="0000ff"/>
            <w:sz w:val="16"/>
            <w:szCs w:val="16"/>
            <w:u w:val="single"/>
            <w:rtl w:val="0"/>
          </w:rPr>
          <w:t xml:space="preserve">raquel.gonzalez.rodriguez@diagroup.com</w:t>
        </w:r>
      </w:hyperlink>
      <w:r w:rsidDel="00000000" w:rsidR="00000000" w:rsidRPr="00000000">
        <w:rPr>
          <w:rFonts w:ascii="Montserrat" w:cs="Montserrat" w:eastAsia="Montserrat" w:hAnsi="Montserrat"/>
          <w:color w:val="0000ff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color w:val="000000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16"/>
          <w:szCs w:val="16"/>
          <w:rtl w:val="0"/>
        </w:rPr>
        <w:t xml:space="preserve">+34 655712890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2235200</wp:posOffset>
              </wp:positionH>
              <wp:positionV relativeFrom="paragraph">
                <wp:posOffset>0</wp:posOffset>
              </wp:positionV>
              <wp:extent cx="1203325" cy="375285"/>
              <wp:effectExtent b="0" l="0" r="0" t="0"/>
              <wp:wrapNone/>
              <wp:docPr id="1980250046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Dia España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2235200</wp:posOffset>
              </wp:positionH>
              <wp:positionV relativeFrom="paragraph">
                <wp:posOffset>0</wp:posOffset>
              </wp:positionV>
              <wp:extent cx="1203325" cy="375285"/>
              <wp:effectExtent b="0" l="0" r="0" t="0"/>
              <wp:wrapNone/>
              <wp:docPr id="198025004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3325" cy="3752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0</wp:posOffset>
              </wp:positionV>
              <wp:extent cx="1203325" cy="375285"/>
              <wp:effectExtent b="0" l="0" r="0" t="0"/>
              <wp:wrapNone/>
              <wp:docPr id="198025004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@Dia_Esp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0</wp:posOffset>
              </wp:positionV>
              <wp:extent cx="1203325" cy="375285"/>
              <wp:effectExtent b="0" l="0" r="0" t="0"/>
              <wp:wrapNone/>
              <wp:docPr id="198025004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3325" cy="3752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4635500</wp:posOffset>
              </wp:positionH>
              <wp:positionV relativeFrom="paragraph">
                <wp:posOffset>0</wp:posOffset>
              </wp:positionV>
              <wp:extent cx="1346835" cy="375285"/>
              <wp:effectExtent b="0" l="0" r="0" t="0"/>
              <wp:wrapNone/>
              <wp:docPr id="1980250047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u w:val="single"/>
                              <w:vertAlign w:val="baseline"/>
                            </w:rPr>
                            <w:t xml:space="preserve">www.dia.es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4635500</wp:posOffset>
              </wp:positionH>
              <wp:positionV relativeFrom="paragraph">
                <wp:posOffset>0</wp:posOffset>
              </wp:positionV>
              <wp:extent cx="1346835" cy="375285"/>
              <wp:effectExtent b="0" l="0" r="0" t="0"/>
              <wp:wrapNone/>
              <wp:docPr id="198025004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6835" cy="3752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b="0" l="0" r="0" t="0"/>
          <wp:wrapSquare wrapText="bothSides" distB="0" distT="0" distL="114300" distR="114300"/>
          <wp:docPr id="198025004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-558781</wp:posOffset>
          </wp:positionH>
          <wp:positionV relativeFrom="paragraph">
            <wp:posOffset>152188</wp:posOffset>
          </wp:positionV>
          <wp:extent cx="263525" cy="263525"/>
          <wp:effectExtent b="0" l="0" r="0" t="0"/>
          <wp:wrapSquare wrapText="bothSides" distB="0" distT="0" distL="114300" distR="114300"/>
          <wp:docPr id="198025005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F">
      <w:pPr>
        <w:rPr>
          <w:rFonts w:ascii="Arial" w:cs="Arial" w:eastAsia="Arial" w:hAnsi="Arial"/>
          <w:color w:val="060a45"/>
          <w:sz w:val="21"/>
          <w:szCs w:val="21"/>
          <w:highlight w:val="whit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222222"/>
          <w:sz w:val="14"/>
          <w:szCs w:val="14"/>
          <w:rtl w:val="0"/>
        </w:rPr>
        <w:t xml:space="preserve">Nielsen IQ es </w:t>
      </w:r>
      <w:r w:rsidDel="00000000" w:rsidR="00000000" w:rsidRPr="00000000">
        <w:rPr>
          <w:rFonts w:ascii="Montserrat" w:cs="Montserrat" w:eastAsia="Montserrat" w:hAnsi="Montserrat"/>
          <w:color w:val="222222"/>
          <w:sz w:val="14"/>
          <w:szCs w:val="14"/>
          <w:rtl w:val="0"/>
        </w:rPr>
        <w:t xml:space="preserve">el principal proveedor de inteligencia de consumo del mundo que permite medir el crecimiento de un negocio en categorías, canales y mercados globales. Con presencia en 90 países, mide 7,2 millones de dólares del gasto global de los consumidores en 21,3 millones de tiendas, 82.000 comercios en línea y 162 millones de productos.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rPr>
          <w:rFonts w:ascii="Arial" w:cs="Arial" w:eastAsia="Arial" w:hAnsi="Arial"/>
          <w:color w:val="060a45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31">
      <w:pPr>
        <w:rPr>
          <w:rFonts w:ascii="Arial" w:cs="Arial" w:eastAsia="Arial" w:hAnsi="Arial"/>
          <w:color w:val="060a45"/>
          <w:sz w:val="21"/>
          <w:szCs w:val="21"/>
          <w:highlight w:val="whit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222222"/>
          <w:sz w:val="14"/>
          <w:szCs w:val="14"/>
          <w:rtl w:val="0"/>
        </w:rPr>
        <w:t xml:space="preserve">Total Año Móvil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color w:val="060a45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-1076309</wp:posOffset>
          </wp:positionH>
          <wp:positionV relativeFrom="paragraph">
            <wp:posOffset>-447655</wp:posOffset>
          </wp:positionV>
          <wp:extent cx="7703159" cy="1119928"/>
          <wp:effectExtent b="0" l="0" r="0" t="0"/>
          <wp:wrapSquare wrapText="bothSides" distB="0" distT="0" distL="114300" distR="114300"/>
          <wp:docPr descr="Imagen que contiene Interfaz de usuario gráfica&#10;&#10;Descripción generada automáticamente" id="1980250048" name="image2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03159" cy="111992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34" w:customStyle="1">
    <w:name w:val="Table Normal34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33" w:customStyle="1">
    <w:name w:val="Table Normal3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2" w:customStyle="1">
    <w:name w:val="Table Normal3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1" w:customStyle="1">
    <w:name w:val="Table Normal3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0" w:customStyle="1">
    <w:name w:val="Table Normal3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9" w:customStyle="1">
    <w:name w:val="Table Normal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8" w:customStyle="1">
    <w:name w:val="Table Normal28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7" w:customStyle="1">
    <w:name w:val="Table Normal27"/>
    <w:rsid w:val="00EC4A7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9" w:customStyle="1">
    <w:name w:val="Table Normal19"/>
    <w:rsid w:val="00BF371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 w:val="1"/>
    <w:rsid w:val="00A6747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A6747B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4D795E"/>
  </w:style>
  <w:style w:type="paragraph" w:styleId="Encabezado">
    <w:name w:val="header"/>
    <w:basedOn w:val="Normal"/>
    <w:link w:val="EncabezadoCar"/>
    <w:uiPriority w:val="99"/>
    <w:unhideWhenUsed w:val="1"/>
    <w:rsid w:val="008E6FAA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E6FAA"/>
  </w:style>
  <w:style w:type="paragraph" w:styleId="Piedepgina">
    <w:name w:val="footer"/>
    <w:basedOn w:val="Normal"/>
    <w:link w:val="PiedepginaCar"/>
    <w:uiPriority w:val="99"/>
    <w:unhideWhenUsed w:val="1"/>
    <w:rsid w:val="008E6FAA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E6FAA"/>
  </w:style>
  <w:style w:type="paragraph" w:styleId="Descripcin">
    <w:name w:val="caption"/>
    <w:basedOn w:val="Normal"/>
    <w:next w:val="Normal"/>
    <w:uiPriority w:val="35"/>
    <w:unhideWhenUsed w:val="1"/>
    <w:qFormat w:val="1"/>
    <w:rsid w:val="00A073BA"/>
    <w:pPr>
      <w:spacing w:after="200"/>
    </w:pPr>
    <w:rPr>
      <w:i w:val="1"/>
      <w:iCs w:val="1"/>
      <w:color w:val="1f497d" w:themeColor="text2"/>
      <w:sz w:val="18"/>
      <w:szCs w:val="18"/>
    </w:rPr>
  </w:style>
  <w:style w:type="table" w:styleId="TableNormal1" w:customStyle="1">
    <w:name w:val="Table Normal1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6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7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8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9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0"/>
    <w:rsid w:val="0081430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8" w:customStyle="1">
    <w:name w:val="Table Normal18"/>
    <w:rsid w:val="00BF371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7" w:customStyle="1">
    <w:name w:val="Table Normal17"/>
    <w:rsid w:val="00BF371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6" w:customStyle="1">
    <w:name w:val="Table Normal16"/>
    <w:rsid w:val="00BF371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5" w:customStyle="1">
    <w:name w:val="Table Normal15"/>
    <w:rsid w:val="00BF371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4" w:customStyle="1">
    <w:name w:val="Table Normal14"/>
    <w:rsid w:val="00BF371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3" w:customStyle="1">
    <w:name w:val="Table Normal13"/>
    <w:rsid w:val="00BF371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2" w:customStyle="1">
    <w:name w:val="Table Normal12"/>
    <w:rsid w:val="00BF371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1" w:customStyle="1">
    <w:name w:val="Table Normal11"/>
    <w:rsid w:val="00BF371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6" w:customStyle="1">
    <w:name w:val="Table Normal26"/>
    <w:rsid w:val="00EC4A7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5" w:customStyle="1">
    <w:name w:val="Table Normal25"/>
    <w:rsid w:val="00EC4A7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4" w:customStyle="1">
    <w:name w:val="Table Normal24"/>
    <w:rsid w:val="00EC4A7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3" w:customStyle="1">
    <w:name w:val="Table Normal23"/>
    <w:rsid w:val="00EC4A7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2" w:customStyle="1">
    <w:name w:val="Table Normal22"/>
    <w:rsid w:val="00EC4A7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1" w:customStyle="1">
    <w:name w:val="Table Normal21"/>
    <w:rsid w:val="00EC4A7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0" w:customStyle="1">
    <w:name w:val="Table Normal20"/>
    <w:rsid w:val="00EC4A7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fontTable" Target="fontTable.xml"/><Relationship Id="rId12" Type="http://schemas.openxmlformats.org/officeDocument/2006/relationships/header" Target="header1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1" Type="http://schemas.openxmlformats.org/officeDocument/2006/relationships/hyperlink" Target="mailto:raquel.gonzalez.rodriguez@diagroup.com" TargetMode="External"/><Relationship Id="rId1" Type="http://schemas.openxmlformats.org/officeDocument/2006/relationships/theme" Target="theme/theme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hyperlink" Target="https://urldefense.com/v3/__https:/www.linkedin.com/company/dia-group/?originalSubdomain=es__;!!FMox2LFwyA!oM0iXfQrkanChUbTkL-OeTCj4XLMuc3u6l5UgjgBfKtp9bPJyA-dX3E-RzEhHVf-0odbW7XN95dpeM5RkiVNv2hkn9M$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Relationship Id="rId3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0/g5lhzSr8Uvmg/O7hRCfPpCnQ==">CgMxLjA4AGorChRzdWdnZXN0LnI0OTJicHd3czR1ZRITUGlsYXIgSGVybWlkYSBMbGFub2orChRzdWdnZXN0LndmenFtczVrYm5sdBITUGlsYXIgSGVybWlkYSBMbGFub2orChRzdWdnZXN0LjJ4aWV5c2xpMm52cRITUGlsYXIgSGVybWlkYSBMbGFub2orChRzdWdnZXN0LnE3b3drbGNmNzhpMxITUGlsYXIgSGVybWlkYSBMbGFub2orChRzdWdnZXN0LjN1cjFqbHo4Nnh1NRITUGlsYXIgSGVybWlkYSBMbGFub3IhMWE1aENOY1NxUU1fNlV5ek9SaWRWSS05dUFhZVY3YlpD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9679b87cfe3dca1e22b83eb6197448b0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088bde2c3630333e2ffb422c644e102c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46983ED-6495-44BB-9656-DE966F42DD75}"/>
</file>

<file path=customXML/itemProps3.xml><?xml version="1.0" encoding="utf-8"?>
<ds:datastoreItem xmlns:ds="http://schemas.openxmlformats.org/officeDocument/2006/customXml" ds:itemID="{4B6598AC-BB03-4202-BD2C-AE63C614A127}"/>
</file>

<file path=customXML/itemProps4.xml><?xml version="1.0" encoding="utf-8"?>
<ds:datastoreItem xmlns:ds="http://schemas.openxmlformats.org/officeDocument/2006/customXml" ds:itemID="{96CA6867-5558-4D5C-9A74-5EAC135F0D42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a.rascon</dc:creator>
  <dcterms:created xsi:type="dcterms:W3CDTF">2025-04-08T16:24:00Z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</Properties>
</file>