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040" w14:textId="77777777" w:rsidR="003B5B3A" w:rsidRDefault="003B5B3A" w:rsidP="003B5B3A">
      <w:pPr>
        <w:jc w:val="center"/>
        <w:rPr>
          <w:rFonts w:ascii="Century Gothic" w:eastAsia="Century Gothic" w:hAnsi="Century Gothic" w:cs="Century Gothic"/>
          <w:b/>
          <w:color w:val="C55911"/>
          <w:sz w:val="22"/>
          <w:szCs w:val="22"/>
          <w:u w:val="single"/>
        </w:rPr>
      </w:pPr>
    </w:p>
    <w:p w14:paraId="7B53459B" w14:textId="15F7061F" w:rsidR="0022387E" w:rsidRPr="0022387E" w:rsidRDefault="008D01EC" w:rsidP="002238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  <w:r w:rsidRPr="008D01EC"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>El apagón eléctrico agrava el desperdicio alimentario: medidas para mitigar sus efectos</w:t>
      </w:r>
      <w:r w:rsidR="00F1055E"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 xml:space="preserve"> </w:t>
      </w:r>
      <w:r w:rsidR="0022387E" w:rsidRPr="0022387E">
        <w:rPr>
          <w:rFonts w:ascii="Open Sans" w:eastAsia="Open Sans" w:hAnsi="Open Sans" w:cs="Open Sans"/>
          <w:color w:val="000000"/>
          <w:sz w:val="22"/>
          <w:szCs w:val="22"/>
        </w:rPr>
        <w:br/>
      </w:r>
    </w:p>
    <w:p w14:paraId="44A23974" w14:textId="77777777" w:rsidR="0022387E" w:rsidRPr="0022387E" w:rsidRDefault="0022387E" w:rsidP="0022387E">
      <w:pPr>
        <w:numPr>
          <w:ilvl w:val="0"/>
          <w:numId w:val="6"/>
        </w:numPr>
        <w:spacing w:after="0"/>
        <w:jc w:val="both"/>
        <w:rPr>
          <w:rFonts w:ascii="Open Sans" w:eastAsia="Open Sans" w:hAnsi="Open Sans" w:cs="Open Sans"/>
          <w:i/>
          <w:iCs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>Los efectos del apagón eléctrico en el sistema alimentario han provocado la interrupción de la cadena de frío, el cierre de supermercados y un alto riesgo de deterioro de productos perecederos</w:t>
      </w:r>
    </w:p>
    <w:p w14:paraId="1E82F195" w14:textId="2CA147E0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7A9DD3" w14:textId="77777777" w:rsidR="0022387E" w:rsidRPr="0022387E" w:rsidRDefault="0022387E" w:rsidP="0022387E">
      <w:pPr>
        <w:numPr>
          <w:ilvl w:val="0"/>
          <w:numId w:val="7"/>
        </w:numPr>
        <w:spacing w:after="0"/>
        <w:jc w:val="both"/>
        <w:rPr>
          <w:rFonts w:ascii="Open Sans" w:eastAsia="Open Sans" w:hAnsi="Open Sans" w:cs="Open Sans"/>
          <w:i/>
          <w:iCs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 xml:space="preserve">Según la </w:t>
      </w:r>
      <w:proofErr w:type="spellStart"/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>Aesan</w:t>
      </w:r>
      <w:proofErr w:type="spellEnd"/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 xml:space="preserve"> los alimentos refrigerados pueden mantenerse seguros hasta 4 horas sin electricidad, siempre que las puertas del frigorífico permanezcan cerradas</w:t>
      </w:r>
    </w:p>
    <w:p w14:paraId="1B056013" w14:textId="424F290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438A20" w14:textId="77777777" w:rsidR="0022387E" w:rsidRPr="0022387E" w:rsidRDefault="0022387E" w:rsidP="0022387E">
      <w:pPr>
        <w:numPr>
          <w:ilvl w:val="0"/>
          <w:numId w:val="8"/>
        </w:numPr>
        <w:spacing w:after="0"/>
        <w:jc w:val="both"/>
        <w:rPr>
          <w:rFonts w:ascii="Open Sans" w:eastAsia="Open Sans" w:hAnsi="Open Sans" w:cs="Open Sans"/>
          <w:i/>
          <w:iCs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>El uso de hielo, el monitoreo de temperaturas, la capacitación del personal, los planes de contingencia y la comunicación con proveedores son algunas de las recomendaciones de Phenix ante esta situación</w:t>
      </w:r>
    </w:p>
    <w:p w14:paraId="1216C392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5978A1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Madrid, 29 de abril de 2025.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  El apagón eléctrico que comenzó el 28 de abril a las 12:30 y afectó a amplias zonas de España ha dejado sin suministro a millones de hogares y establecimientos. Aunque las causas aún se investigan, desde </w:t>
      </w:r>
      <w:hyperlink r:id="rId7" w:history="1">
        <w:r w:rsidRPr="0022387E">
          <w:rPr>
            <w:rStyle w:val="Hipervnculo"/>
            <w:rFonts w:ascii="Open Sans" w:eastAsia="Open Sans" w:hAnsi="Open Sans" w:cs="Open Sans"/>
            <w:b/>
            <w:bCs/>
            <w:sz w:val="22"/>
            <w:szCs w:val="22"/>
          </w:rPr>
          <w:t>Phenix</w:t>
        </w:r>
      </w:hyperlink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, empresa especializada en la reducción del desperdicio alimentario, indican que sus 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efectos en el sistema alimentario ya son evidentes: interrupción de la cadena de frío, cierre de supermercados y un alto riesgo de deterioro de productos perecederos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. Esta situación ha provocado un aumento significativo del desperdicio alimentario, con consecuencias tanto sanitarias como medioambientales.</w:t>
      </w:r>
    </w:p>
    <w:p w14:paraId="197581FF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08CE61" w14:textId="2703539F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Según </w:t>
      </w:r>
      <w:proofErr w:type="spellStart"/>
      <w:r w:rsidRPr="001255B4">
        <w:rPr>
          <w:rFonts w:ascii="Open Sans" w:eastAsia="Open Sans" w:hAnsi="Open Sans" w:cs="Open Sans"/>
          <w:b/>
          <w:bCs/>
          <w:sz w:val="22"/>
          <w:szCs w:val="22"/>
        </w:rPr>
        <w:t>Aesan</w:t>
      </w:r>
      <w:proofErr w:type="spellEnd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(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Agencia Española de Seguridad Alimentaria</w:t>
      </w:r>
      <w:r w:rsidR="003A7002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y Nutrición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)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, los alimentos refrigerados pueden mantenerse seguros 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hasta 4 horas sin electricidad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, siempre que las puertas del frigorífico permanezcan cerradas. En el caso de los congeladores, si están llenos y no se abren, los alimentos pueden conservarse hasta 48 horas. Sin embargo, una vez superados estos tiempos, productos como carnes, pescados, lácteos y comidas preparadas deben ser desechados para evitar riesgos para la salud. Por su parte, la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Organización Mundial de la Salud (OMS)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recuerda que los alimentos perecederos, como carnes, pescados, huevos y productos preparados, que han estado expuestos a temperaturas superiores a 5</w:t>
      </w:r>
      <w:r w:rsidRPr="0022387E">
        <w:rPr>
          <w:rFonts w:ascii="Arial" w:eastAsia="Open Sans" w:hAnsi="Arial" w:cs="Arial"/>
          <w:color w:val="000000"/>
          <w:sz w:val="22"/>
          <w:szCs w:val="22"/>
        </w:rPr>
        <w:t> 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°C durante más de dos horas, pueden no ser seguros para el consumo humano. </w:t>
      </w:r>
    </w:p>
    <w:p w14:paraId="08E248AB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0A6B09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En este contexto, </w:t>
      </w:r>
      <w:hyperlink r:id="rId8" w:history="1">
        <w:r w:rsidRPr="0022387E">
          <w:rPr>
            <w:rStyle w:val="Hipervnculo"/>
            <w:rFonts w:ascii="Open Sans" w:eastAsia="Open Sans" w:hAnsi="Open Sans" w:cs="Open Sans"/>
            <w:b/>
            <w:bCs/>
            <w:sz w:val="22"/>
            <w:szCs w:val="22"/>
          </w:rPr>
          <w:t>Phenix</w:t>
        </w:r>
      </w:hyperlink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insta a las empresas del sector a adaptar protocolos preventivos y medidas de respuesta que permitan minimizar pérdidas y garantizar 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la seguridad de los alimentos en situaciones de emergencia energética y ofrece una serie de recomendaciones. Para mitigar los efectos de cortes de suministro eléctrico, las empresas del sector deben implementar las siguientes medidas:</w:t>
      </w:r>
    </w:p>
    <w:p w14:paraId="66B92AD5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52DD0A6" w14:textId="6DEF3302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Recomendaciones para empresas alimentarias en caso de corte eléctrico: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br/>
      </w:r>
    </w:p>
    <w:p w14:paraId="59AA42F3" w14:textId="6DC86432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Mantener cerrados frigoríficos y congeladores: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permite conservar la temperatura interna durante más tiempo.</w:t>
      </w:r>
    </w:p>
    <w:p w14:paraId="73D74B87" w14:textId="3BB8B2E6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Uso de hielo seco o bloques de hielo: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ayuda a mantener la temperatura adecuada en congeladores durante apagones prolongados, evitando el contacto directo con los alimentos.</w:t>
      </w:r>
    </w:p>
    <w:p w14:paraId="25795F6C" w14:textId="37B3E837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b/>
          <w:bCs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Monitoreo de temperaturas: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permite verificar que los alimentos se mantengan por debajo de los 4</w:t>
      </w:r>
      <w:r w:rsidRPr="0022387E">
        <w:rPr>
          <w:rFonts w:ascii="Arial" w:eastAsia="Open Sans" w:hAnsi="Arial" w:cs="Arial"/>
          <w:color w:val="000000"/>
          <w:sz w:val="22"/>
          <w:szCs w:val="22"/>
        </w:rPr>
        <w:t> 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°C y desechar aquellos que los superen durante más de dos horas.</w:t>
      </w:r>
    </w:p>
    <w:p w14:paraId="3C4E82EF" w14:textId="0BE04479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Capacitación del personal: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garantiza que los empleados conozcan los protocolos de seguridad alimentaria y actúen con eficacia ante emergencias eléctricas.</w:t>
      </w:r>
    </w:p>
    <w:p w14:paraId="2B01D65B" w14:textId="35AF9C2A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Planes de contingencia: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aseguran una respuesta organizada mediante procedimientos específicos para conservar alimentos durante cortes de energía.</w:t>
      </w:r>
    </w:p>
    <w:p w14:paraId="00891823" w14:textId="2D06D8AB" w:rsidR="0022387E" w:rsidRPr="0022387E" w:rsidRDefault="0022387E" w:rsidP="0022387E">
      <w:pPr>
        <w:numPr>
          <w:ilvl w:val="0"/>
          <w:numId w:val="9"/>
        </w:numPr>
        <w:spacing w:after="0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Comunicación con proveedores y autoridades: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 xml:space="preserve"> facilita la coordinación de acciones y el acceso a apoyo en situaciones críticas.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br/>
      </w:r>
    </w:p>
    <w:p w14:paraId="266F973C" w14:textId="77777777" w:rsidR="0022387E" w:rsidRPr="0022387E" w:rsidRDefault="0022387E" w:rsidP="0022387E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2387E">
        <w:rPr>
          <w:rFonts w:ascii="Open Sans" w:eastAsia="Open Sans" w:hAnsi="Open Sans" w:cs="Open Sans"/>
          <w:i/>
          <w:iCs/>
          <w:color w:val="000000"/>
          <w:sz w:val="22"/>
          <w:szCs w:val="22"/>
        </w:rPr>
        <w:t xml:space="preserve">“El apagón ha puesto de manifiesto la necesidad urgente de reforzar la resiliencia del sistema alimentario. Prepararse ante imprevistos energéticos no solo protege la salud pública y la viabilidad económica de los negocios, sino que contribuye también a reducir el desperdicio alimentario y su impacto climático”, </w:t>
      </w:r>
      <w:r w:rsidRPr="0022387E">
        <w:rPr>
          <w:rFonts w:ascii="Open Sans" w:eastAsia="Open Sans" w:hAnsi="Open Sans" w:cs="Open Sans"/>
          <w:color w:val="000000"/>
          <w:sz w:val="22"/>
          <w:szCs w:val="22"/>
        </w:rPr>
        <w:t>ha señalado</w:t>
      </w:r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Pauline </w:t>
      </w:r>
      <w:proofErr w:type="spellStart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Bertin</w:t>
      </w:r>
      <w:proofErr w:type="spellEnd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, </w:t>
      </w:r>
      <w:proofErr w:type="spellStart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Chief</w:t>
      </w:r>
      <w:proofErr w:type="spellEnd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Sales </w:t>
      </w:r>
      <w:proofErr w:type="spellStart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Officer</w:t>
      </w:r>
      <w:proofErr w:type="spellEnd"/>
      <w:r w:rsidRPr="0022387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 de Phenix a nivel global.</w:t>
      </w:r>
    </w:p>
    <w:p w14:paraId="004A1BE8" w14:textId="77777777" w:rsidR="002A6E50" w:rsidRDefault="002A6E50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B21DD3" w14:textId="77777777" w:rsidR="003F51B6" w:rsidRDefault="00BF1F88" w:rsidP="003F51B6">
      <w:pPr>
        <w:jc w:val="center"/>
        <w:rPr>
          <w:rFonts w:ascii="Open Sans" w:eastAsia="Open Sans" w:hAnsi="Open Sans" w:cs="Open Sans"/>
          <w:color w:val="000000"/>
          <w:sz w:val="22"/>
          <w:szCs w:val="22"/>
        </w:rPr>
      </w:pPr>
      <w:r>
        <w:pict w14:anchorId="5E994DD3">
          <v:rect id="_x0000_i1025" style="width:0;height:1.5pt" o:hralign="center" o:hrstd="t" o:hr="t" fillcolor="#a0a0a0" stroked="f"/>
        </w:pict>
      </w:r>
    </w:p>
    <w:p w14:paraId="662F1BB7" w14:textId="77777777" w:rsidR="003F51B6" w:rsidRDefault="003F51B6" w:rsidP="003F51B6">
      <w:pPr>
        <w:jc w:val="center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***</w:t>
      </w:r>
    </w:p>
    <w:p w14:paraId="1C15D044" w14:textId="77777777" w:rsidR="0022387E" w:rsidRDefault="0022387E" w:rsidP="003F51B6">
      <w:pPr>
        <w:jc w:val="center"/>
        <w:rPr>
          <w:rFonts w:ascii="Open Sans" w:eastAsia="Open Sans" w:hAnsi="Open Sans" w:cs="Open Sans"/>
          <w:sz w:val="22"/>
          <w:szCs w:val="22"/>
        </w:rPr>
      </w:pPr>
    </w:p>
    <w:p w14:paraId="3847232F" w14:textId="77777777" w:rsidR="003F51B6" w:rsidRDefault="003F51B6" w:rsidP="003F51B6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Sobre Phenix</w:t>
      </w:r>
    </w:p>
    <w:p w14:paraId="1C1D848A" w14:textId="77777777" w:rsidR="003F51B6" w:rsidRDefault="003F51B6" w:rsidP="003F51B6">
      <w:pPr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 xml:space="preserve">Phenix es una empresa especializada en maximizar el valor del excedente en el sector </w:t>
      </w:r>
      <w:sdt>
        <w:sdtPr>
          <w:tag w:val="goog_rdk_0"/>
          <w:id w:val="-1394961829"/>
          <w:showingPlcHdr/>
        </w:sdtPr>
        <w:sdtEndPr/>
        <w:sdtContent>
          <w:r>
            <w:t xml:space="preserve">     </w:t>
          </w:r>
        </w:sdtContent>
      </w:sdt>
      <w:r>
        <w:rPr>
          <w:rFonts w:ascii="Century Gothic" w:eastAsia="Century Gothic" w:hAnsi="Century Gothic" w:cs="Century Gothic"/>
          <w:i/>
          <w:sz w:val="16"/>
          <w:szCs w:val="16"/>
        </w:rPr>
        <w:t xml:space="preserve">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</w:t>
      </w:r>
      <w:proofErr w:type="spellStart"/>
      <w:r>
        <w:rPr>
          <w:rFonts w:ascii="Century Gothic" w:eastAsia="Century Gothic" w:hAnsi="Century Gothic" w:cs="Century Gothic"/>
          <w:i/>
          <w:sz w:val="16"/>
          <w:szCs w:val="16"/>
        </w:rPr>
        <w:t>Corporation</w:t>
      </w:r>
      <w:proofErr w:type="spellEnd"/>
      <w:r>
        <w:rPr>
          <w:rFonts w:ascii="Century Gothic" w:eastAsia="Century Gothic" w:hAnsi="Century Gothic" w:cs="Century Gothic"/>
          <w:i/>
          <w:sz w:val="16"/>
          <w:szCs w:val="16"/>
        </w:rPr>
        <w:t>, mostrando su compromiso con la sociedad y el medioambiente.</w:t>
      </w:r>
    </w:p>
    <w:p w14:paraId="33725A08" w14:textId="77777777" w:rsidR="003F51B6" w:rsidRDefault="003F51B6" w:rsidP="003F51B6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>Para más información: https://www.wearephenix.com/es/</w:t>
      </w:r>
    </w:p>
    <w:p w14:paraId="44F4ABB7" w14:textId="77777777" w:rsidR="003F51B6" w:rsidRDefault="003F51B6" w:rsidP="003F51B6">
      <w:pPr>
        <w:rPr>
          <w:rFonts w:ascii="Open Sans" w:eastAsia="Open Sans" w:hAnsi="Open Sans" w:cs="Open Sans"/>
          <w:sz w:val="22"/>
          <w:szCs w:val="22"/>
        </w:rPr>
      </w:pPr>
    </w:p>
    <w:p w14:paraId="796C57E7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Contacto para la prensa:</w:t>
      </w:r>
    </w:p>
    <w:p w14:paraId="4C75439C" w14:textId="77777777" w:rsidR="003F51B6" w:rsidRDefault="003F51B6" w:rsidP="003F51B6">
      <w:pPr>
        <w:jc w:val="center"/>
        <w:rPr>
          <w:rFonts w:ascii="Open Sans" w:eastAsia="Open Sans" w:hAnsi="Open Sans" w:cs="Open Sans"/>
          <w:sz w:val="22"/>
          <w:szCs w:val="22"/>
        </w:rPr>
      </w:pPr>
    </w:p>
    <w:p w14:paraId="49AF99E7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Marina Gascón Martínez de Quel </w:t>
      </w:r>
    </w:p>
    <w:p w14:paraId="70B011C6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marina.gascon@newlink-group.com </w:t>
      </w:r>
    </w:p>
    <w:p w14:paraId="2DA6D77C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+ 34 651 963 459 </w:t>
      </w:r>
    </w:p>
    <w:p w14:paraId="74A581F1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0C76E8D9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María Sánchez-Girón</w:t>
      </w:r>
    </w:p>
    <w:p w14:paraId="48CF8EB2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maria.sanchez-giron@newlink-group.com</w:t>
      </w:r>
    </w:p>
    <w:p w14:paraId="277F6D85" w14:textId="05412026" w:rsidR="003F51B6" w:rsidRDefault="003F51B6" w:rsidP="003F51B6">
      <w:pPr>
        <w:spacing w:after="0" w:line="240" w:lineRule="auto"/>
        <w:jc w:val="right"/>
      </w:pPr>
      <w:r>
        <w:rPr>
          <w:rFonts w:ascii="Calibri" w:eastAsia="Calibri" w:hAnsi="Calibri" w:cs="Calibri"/>
          <w:sz w:val="20"/>
          <w:szCs w:val="20"/>
        </w:rPr>
        <w:t>+34 653 125 545</w:t>
      </w:r>
    </w:p>
    <w:sectPr w:rsidR="003F51B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0C9" w14:textId="77777777" w:rsidR="00D371F4" w:rsidRDefault="00D371F4" w:rsidP="002F1980">
      <w:pPr>
        <w:spacing w:after="0" w:line="240" w:lineRule="auto"/>
      </w:pPr>
      <w:r>
        <w:separator/>
      </w:r>
    </w:p>
  </w:endnote>
  <w:endnote w:type="continuationSeparator" w:id="0">
    <w:p w14:paraId="2DE80611" w14:textId="77777777" w:rsidR="00D371F4" w:rsidRDefault="00D371F4" w:rsidP="002F1980">
      <w:pPr>
        <w:spacing w:after="0" w:line="240" w:lineRule="auto"/>
      </w:pPr>
      <w:r>
        <w:continuationSeparator/>
      </w:r>
    </w:p>
  </w:endnote>
  <w:endnote w:type="continuationNotice" w:id="1">
    <w:p w14:paraId="06425EB9" w14:textId="77777777" w:rsidR="00EB323C" w:rsidRDefault="00EB3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1658" w14:textId="77777777" w:rsidR="00D371F4" w:rsidRDefault="00D371F4" w:rsidP="002F1980">
      <w:pPr>
        <w:spacing w:after="0" w:line="240" w:lineRule="auto"/>
      </w:pPr>
      <w:r>
        <w:separator/>
      </w:r>
    </w:p>
  </w:footnote>
  <w:footnote w:type="continuationSeparator" w:id="0">
    <w:p w14:paraId="151DAB55" w14:textId="77777777" w:rsidR="00D371F4" w:rsidRDefault="00D371F4" w:rsidP="002F1980">
      <w:pPr>
        <w:spacing w:after="0" w:line="240" w:lineRule="auto"/>
      </w:pPr>
      <w:r>
        <w:continuationSeparator/>
      </w:r>
    </w:p>
  </w:footnote>
  <w:footnote w:type="continuationNotice" w:id="1">
    <w:p w14:paraId="4A882779" w14:textId="77777777" w:rsidR="00EB323C" w:rsidRDefault="00EB3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2F6A" w14:textId="0F4EA44F" w:rsidR="002F1980" w:rsidRDefault="002F1980" w:rsidP="002F1980">
    <w:pPr>
      <w:pStyle w:val="Encabezado"/>
      <w:jc w:val="center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7021435" wp14:editId="05CE2739">
          <wp:extent cx="1578610" cy="621030"/>
          <wp:effectExtent l="0" t="0" r="0" b="0"/>
          <wp:docPr id="1496951767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162"/>
    <w:multiLevelType w:val="multilevel"/>
    <w:tmpl w:val="14DA6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892C5E"/>
    <w:multiLevelType w:val="multilevel"/>
    <w:tmpl w:val="9CC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730E8"/>
    <w:multiLevelType w:val="multilevel"/>
    <w:tmpl w:val="E48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C58BC"/>
    <w:multiLevelType w:val="multilevel"/>
    <w:tmpl w:val="CFB8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D47E1"/>
    <w:multiLevelType w:val="hybridMultilevel"/>
    <w:tmpl w:val="725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6174"/>
    <w:multiLevelType w:val="multilevel"/>
    <w:tmpl w:val="FB7E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9519F"/>
    <w:multiLevelType w:val="multilevel"/>
    <w:tmpl w:val="FC4EE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AF100D2"/>
    <w:multiLevelType w:val="hybridMultilevel"/>
    <w:tmpl w:val="2ACE7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F5D64"/>
    <w:multiLevelType w:val="multilevel"/>
    <w:tmpl w:val="FB9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41584">
    <w:abstractNumId w:val="6"/>
  </w:num>
  <w:num w:numId="2" w16cid:durableId="98840431">
    <w:abstractNumId w:val="0"/>
  </w:num>
  <w:num w:numId="3" w16cid:durableId="2115247174">
    <w:abstractNumId w:val="7"/>
  </w:num>
  <w:num w:numId="4" w16cid:durableId="30957458">
    <w:abstractNumId w:val="4"/>
  </w:num>
  <w:num w:numId="5" w16cid:durableId="1184636974">
    <w:abstractNumId w:val="3"/>
  </w:num>
  <w:num w:numId="6" w16cid:durableId="40833951">
    <w:abstractNumId w:val="2"/>
  </w:num>
  <w:num w:numId="7" w16cid:durableId="1169129184">
    <w:abstractNumId w:val="8"/>
  </w:num>
  <w:num w:numId="8" w16cid:durableId="1154568055">
    <w:abstractNumId w:val="1"/>
  </w:num>
  <w:num w:numId="9" w16cid:durableId="87040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4B"/>
    <w:rsid w:val="000C6538"/>
    <w:rsid w:val="001255B4"/>
    <w:rsid w:val="001443B8"/>
    <w:rsid w:val="00145420"/>
    <w:rsid w:val="00184427"/>
    <w:rsid w:val="001D1486"/>
    <w:rsid w:val="001D365E"/>
    <w:rsid w:val="001F172C"/>
    <w:rsid w:val="00200985"/>
    <w:rsid w:val="00202DB2"/>
    <w:rsid w:val="0022387E"/>
    <w:rsid w:val="00226AC4"/>
    <w:rsid w:val="002569FD"/>
    <w:rsid w:val="002930F3"/>
    <w:rsid w:val="002A6E50"/>
    <w:rsid w:val="002C62FD"/>
    <w:rsid w:val="002F1980"/>
    <w:rsid w:val="002F337A"/>
    <w:rsid w:val="00353E69"/>
    <w:rsid w:val="00373817"/>
    <w:rsid w:val="003A7002"/>
    <w:rsid w:val="003B5B3A"/>
    <w:rsid w:val="003E1D52"/>
    <w:rsid w:val="003F51B6"/>
    <w:rsid w:val="004710AE"/>
    <w:rsid w:val="00486016"/>
    <w:rsid w:val="00490C3B"/>
    <w:rsid w:val="004D1441"/>
    <w:rsid w:val="0057335D"/>
    <w:rsid w:val="0058015B"/>
    <w:rsid w:val="00583E61"/>
    <w:rsid w:val="0063597A"/>
    <w:rsid w:val="0067749A"/>
    <w:rsid w:val="006C65E3"/>
    <w:rsid w:val="006F6AB6"/>
    <w:rsid w:val="007107B2"/>
    <w:rsid w:val="007258CD"/>
    <w:rsid w:val="00731686"/>
    <w:rsid w:val="00783487"/>
    <w:rsid w:val="00820357"/>
    <w:rsid w:val="008215F6"/>
    <w:rsid w:val="008509A0"/>
    <w:rsid w:val="00871C7B"/>
    <w:rsid w:val="008C656A"/>
    <w:rsid w:val="008D01EC"/>
    <w:rsid w:val="00944E0B"/>
    <w:rsid w:val="009A7880"/>
    <w:rsid w:val="009B2909"/>
    <w:rsid w:val="00A021A8"/>
    <w:rsid w:val="00A31A34"/>
    <w:rsid w:val="00A341F6"/>
    <w:rsid w:val="00B0686C"/>
    <w:rsid w:val="00B11DAD"/>
    <w:rsid w:val="00BA40D4"/>
    <w:rsid w:val="00BC7AA3"/>
    <w:rsid w:val="00BF1F88"/>
    <w:rsid w:val="00C54503"/>
    <w:rsid w:val="00C7410C"/>
    <w:rsid w:val="00C749A5"/>
    <w:rsid w:val="00C97952"/>
    <w:rsid w:val="00CC3F71"/>
    <w:rsid w:val="00D371F4"/>
    <w:rsid w:val="00D5410A"/>
    <w:rsid w:val="00D819B8"/>
    <w:rsid w:val="00DB150F"/>
    <w:rsid w:val="00DD69DA"/>
    <w:rsid w:val="00E01D28"/>
    <w:rsid w:val="00EB1B42"/>
    <w:rsid w:val="00EB323C"/>
    <w:rsid w:val="00ED014B"/>
    <w:rsid w:val="00F1055E"/>
    <w:rsid w:val="00F13A61"/>
    <w:rsid w:val="00FE180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3036EB"/>
  <w15:chartTrackingRefBased/>
  <w15:docId w15:val="{31A34FFB-095A-4451-8029-3700B948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3A"/>
    <w:rPr>
      <w:rFonts w:ascii="Aptos" w:eastAsia="Aptos" w:hAnsi="Aptos" w:cs="Aptos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01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01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01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01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01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01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01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01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01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01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014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1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980"/>
  </w:style>
  <w:style w:type="paragraph" w:styleId="Piedepgina">
    <w:name w:val="footer"/>
    <w:basedOn w:val="Normal"/>
    <w:link w:val="PiedepginaCar"/>
    <w:uiPriority w:val="99"/>
    <w:unhideWhenUsed/>
    <w:rsid w:val="002F1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980"/>
  </w:style>
  <w:style w:type="character" w:styleId="Hipervnculo">
    <w:name w:val="Hyperlink"/>
    <w:basedOn w:val="Fuentedeprrafopredeter"/>
    <w:uiPriority w:val="99"/>
    <w:unhideWhenUsed/>
    <w:rsid w:val="003F51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098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B323C"/>
    <w:pPr>
      <w:spacing w:after="0" w:line="240" w:lineRule="auto"/>
    </w:pPr>
    <w:rPr>
      <w:rFonts w:ascii="Aptos" w:eastAsia="Aptos" w:hAnsi="Aptos" w:cs="Aptos"/>
      <w:kern w:val="0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1255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rephenix.com/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arephenix.com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711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4912</CharactersWithSpaces>
  <SharedDoc>false</SharedDoc>
  <HLinks>
    <vt:vector size="18" baseType="variant">
      <vt:variant>
        <vt:i4>4063270</vt:i4>
      </vt:variant>
      <vt:variant>
        <vt:i4>6</vt:i4>
      </vt:variant>
      <vt:variant>
        <vt:i4>0</vt:i4>
      </vt:variant>
      <vt:variant>
        <vt:i4>5</vt:i4>
      </vt:variant>
      <vt:variant>
        <vt:lpwstr>https://www.wearephenix.com/es/</vt:lpwstr>
      </vt:variant>
      <vt:variant>
        <vt:lpwstr/>
      </vt:variant>
      <vt:variant>
        <vt:i4>2293851</vt:i4>
      </vt:variant>
      <vt:variant>
        <vt:i4>3</vt:i4>
      </vt:variant>
      <vt:variant>
        <vt:i4>0</vt:i4>
      </vt:variant>
      <vt:variant>
        <vt:i4>5</vt:i4>
      </vt:variant>
      <vt:variant>
        <vt:lpwstr>https://www.aesan.gob.es/AECOSAN/web/home/aecosan_inicio.htm</vt:lpwstr>
      </vt:variant>
      <vt:variant>
        <vt:lpwstr/>
      </vt:variant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https://www.wearephenix.com/es/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Sánchez-Girón</dc:creator>
  <cp:keywords/>
  <dc:description/>
  <cp:lastModifiedBy>María Sánchez-Girón</cp:lastModifiedBy>
  <cp:revision>58</cp:revision>
  <dcterms:created xsi:type="dcterms:W3CDTF">2025-04-22T19:53:00Z</dcterms:created>
  <dcterms:modified xsi:type="dcterms:W3CDTF">2025-04-30T06:50:00Z</dcterms:modified>
</cp:coreProperties>
</file>