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101600" distT="0" distL="0" distR="0">
            <wp:extent cx="1800860" cy="658495"/>
            <wp:effectExtent b="0" l="0" r="0" t="0"/>
            <wp:docPr descr="Gráfico, Gráfico de burbujas&#10;&#10;Descripción generada automáticamente" id="2" name="image1.jpg"/>
            <a:graphic>
              <a:graphicData uri="http://schemas.openxmlformats.org/drawingml/2006/picture">
                <pic:pic>
                  <pic:nvPicPr>
                    <pic:cNvPr descr="Gráfico, Gráfico de burbujas&#10;&#10;Descripción generada automáticament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65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ptos" w:cs="Aptos" w:eastAsia="Aptos" w:hAnsi="Aptos"/>
          <w:b w:val="1"/>
          <w:sz w:val="52"/>
          <w:szCs w:val="52"/>
          <w:rtl w:val="0"/>
        </w:rPr>
        <w:t xml:space="preserve">PCS deslumbra en PLMA 2025 con sus propuestas innovadoras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ptos" w:cs="Aptos" w:eastAsia="Aptos" w:hAnsi="Apto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30-05-25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Los pasados 20 y 21 de mayo, PCS estuvo presente en PLMA 2025, uno de los eventos más destacados del sector de marcas de distribuidor, celebrado en Ámsterdam.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Con un stand dinámico y atractivo, PCS presentó sus últimas propuestas, reafirmando su posición como referente de innovación y calidad en el sector. Los visitantes pudieron conocer de cerca una variada gama de productos diseñados para satisfacer las tendencias actuales del mercado, destacando su versatilidad, sabor y compromiso con la sostenibilidad.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La participación de PCS en PLMA fue una excelente ocasión para establecer nuevos lazos comerciales, afianzar relaciones con clientes y socios estratégicos, y consolidar su presencia en el mercado internacional.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</w:rPr>
        <w:drawing>
          <wp:inline distB="114300" distT="114300" distL="114300" distR="114300">
            <wp:extent cx="6188400" cy="46355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62" l="0" r="0" t="62"/>
                    <a:stretch>
                      <a:fillRect/>
                    </a:stretch>
                  </pic:blipFill>
                  <pic:spPr>
                    <a:xfrm>
                      <a:off x="0" y="0"/>
                      <a:ext cx="6188400" cy="463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Melissa Pivac, directora de exportación y Nancy Caglieri, departamento de exportación junto a un cliente.</w:t>
      </w:r>
    </w:p>
    <w:sectPr>
      <w:pgSz w:h="16838" w:w="11906" w:orient="portrait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Manager">
    <vt:lpwstr>Innova Publicidad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