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center"/>
        <w:rPr>
          <w:rFonts w:ascii="Montserrat" w:cs="Montserrat" w:eastAsia="Montserrat" w:hAnsi="Montserrat"/>
          <w:b w:val="1"/>
          <w:color w:val="e30513"/>
          <w:sz w:val="34"/>
          <w:szCs w:val="34"/>
        </w:rPr>
      </w:pPr>
      <w:r w:rsidDel="00000000" w:rsidR="00000000" w:rsidRPr="00000000">
        <w:rPr>
          <w:rFonts w:ascii="Montserrat" w:cs="Montserrat" w:eastAsia="Montserrat" w:hAnsi="Montserrat"/>
          <w:b w:val="1"/>
          <w:color w:val="e30513"/>
          <w:sz w:val="34"/>
          <w:szCs w:val="34"/>
          <w:rtl w:val="0"/>
        </w:rPr>
        <w:t xml:space="preserve">Grupo Dia y la Sociedad Española de Nutrición Comunitaria (SENC) se alían para impulsar una alimentación saludable y accesible</w:t>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409"/>
        <w:jc w:val="both"/>
        <w:rPr>
          <w:rFonts w:ascii="Montserrat" w:cs="Montserrat" w:eastAsia="Montserrat" w:hAnsi="Montserrat"/>
          <w:b w:val="1"/>
          <w:color w:val="222222"/>
          <w:sz w:val="22"/>
          <w:szCs w:val="22"/>
        </w:rPr>
      </w:pPr>
      <w:r w:rsidDel="00000000" w:rsidR="00000000" w:rsidRPr="00000000">
        <w:rPr>
          <w:rFonts w:ascii="Montserrat" w:cs="Montserrat" w:eastAsia="Montserrat" w:hAnsi="Montserrat"/>
          <w:b w:val="1"/>
          <w:color w:val="ff0000"/>
          <w:sz w:val="22"/>
          <w:szCs w:val="22"/>
          <w:rtl w:val="0"/>
        </w:rPr>
        <w:t xml:space="preserve">/</w:t>
      </w:r>
      <w:r w:rsidDel="00000000" w:rsidR="00000000" w:rsidRPr="00000000">
        <w:rPr>
          <w:rFonts w:ascii="Montserrat" w:cs="Montserrat" w:eastAsia="Montserrat" w:hAnsi="Montserrat"/>
          <w:b w:val="1"/>
          <w:color w:val="222222"/>
          <w:sz w:val="22"/>
          <w:szCs w:val="22"/>
          <w:rtl w:val="0"/>
        </w:rPr>
        <w:t xml:space="preserve"> La alianza se ha formalizado este miércoles en la sede de Grupo Dia, en Las Rozas (Madrid), con la firma del acuerdo por parte de Martín Tolcachir, CEO de Grupo Dia, y Pilar Hermida, Directora de Comunicación y Sostenibilidad de la compañía, junto al Dr. Javier Aranceta, presidente de la Sociedad Española de Nutrición Comunitaria (SENC).</w:t>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409"/>
        <w:jc w:val="both"/>
        <w:rPr>
          <w:rFonts w:ascii="Montserrat" w:cs="Montserrat" w:eastAsia="Montserrat" w:hAnsi="Montserrat"/>
          <w:b w:val="1"/>
          <w:color w:val="222222"/>
          <w:sz w:val="22"/>
          <w:szCs w:val="22"/>
        </w:rPr>
      </w:pPr>
      <w:r w:rsidDel="00000000" w:rsidR="00000000" w:rsidRPr="00000000">
        <w:rPr>
          <w:rFonts w:ascii="Montserrat" w:cs="Montserrat" w:eastAsia="Montserrat" w:hAnsi="Montserrat"/>
          <w:b w:val="1"/>
          <w:color w:val="ff0000"/>
          <w:sz w:val="22"/>
          <w:szCs w:val="22"/>
          <w:rtl w:val="0"/>
        </w:rPr>
        <w:t xml:space="preserve">/ </w:t>
      </w:r>
      <w:r w:rsidDel="00000000" w:rsidR="00000000" w:rsidRPr="00000000">
        <w:rPr>
          <w:rFonts w:ascii="Montserrat" w:cs="Montserrat" w:eastAsia="Montserrat" w:hAnsi="Montserrat"/>
          <w:b w:val="1"/>
          <w:color w:val="222222"/>
          <w:sz w:val="22"/>
          <w:szCs w:val="22"/>
          <w:rtl w:val="0"/>
        </w:rPr>
        <w:t xml:space="preserve">La ‘Guía para una compra inteligente y saludable’ es el primer fruto de esta alianza y muestra el afán conjunto de facilitar a la ciudadanía herramientas prácticas para mejorar su alimentación diaria a través de decisiones más informadas y conscientes en el momento de planificar y realizar la compra de alimentos en su hogar. </w:t>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ind w:right="-409"/>
        <w:jc w:val="both"/>
        <w:rPr>
          <w:rFonts w:ascii="Montserrat" w:cs="Montserrat" w:eastAsia="Montserrat" w:hAnsi="Montserrat"/>
          <w:b w:val="1"/>
          <w:color w:val="222222"/>
          <w:sz w:val="22"/>
          <w:szCs w:val="22"/>
        </w:rPr>
      </w:pPr>
      <w:r w:rsidDel="00000000" w:rsidR="00000000" w:rsidRPr="00000000">
        <w:rPr>
          <w:rFonts w:ascii="Montserrat" w:cs="Montserrat" w:eastAsia="Montserrat" w:hAnsi="Montserrat"/>
          <w:b w:val="1"/>
          <w:color w:val="ff0000"/>
          <w:sz w:val="22"/>
          <w:szCs w:val="22"/>
          <w:rtl w:val="0"/>
        </w:rPr>
        <w:t xml:space="preserve">/</w:t>
      </w:r>
      <w:r w:rsidDel="00000000" w:rsidR="00000000" w:rsidRPr="00000000">
        <w:rPr>
          <w:rFonts w:ascii="Montserrat" w:cs="Montserrat" w:eastAsia="Montserrat" w:hAnsi="Montserrat"/>
          <w:b w:val="1"/>
          <w:color w:val="222222"/>
          <w:sz w:val="22"/>
          <w:szCs w:val="22"/>
          <w:rtl w:val="0"/>
        </w:rPr>
        <w:t xml:space="preserve"> El documento ha sido desarrollado con el aval de SENC, ofrece recomendaciones fáciles y accesibles para planificar la compra, llenar la cesta de forma equilibrada y conservar los alimentos de manera segura y eficiente en el hogar. Se enmarca dentro del programa </w:t>
      </w:r>
      <w:r w:rsidDel="00000000" w:rsidR="00000000" w:rsidRPr="00000000">
        <w:rPr>
          <w:rFonts w:ascii="Montserrat" w:cs="Montserrat" w:eastAsia="Montserrat" w:hAnsi="Montserrat"/>
          <w:b w:val="1"/>
          <w:i w:val="1"/>
          <w:color w:val="222222"/>
          <w:sz w:val="22"/>
          <w:szCs w:val="22"/>
          <w:rtl w:val="0"/>
        </w:rPr>
        <w:t xml:space="preserve">Comer mejor cada día</w:t>
      </w:r>
      <w:r w:rsidDel="00000000" w:rsidR="00000000" w:rsidRPr="00000000">
        <w:rPr>
          <w:rFonts w:ascii="Montserrat" w:cs="Montserrat" w:eastAsia="Montserrat" w:hAnsi="Montserrat"/>
          <w:b w:val="1"/>
          <w:color w:val="222222"/>
          <w:sz w:val="22"/>
          <w:szCs w:val="22"/>
          <w:rtl w:val="0"/>
        </w:rPr>
        <w:t xml:space="preserve">, impulsado por Dia como parte de su Plan de Sostenibilidad 2024-2025, ‘</w:t>
      </w:r>
      <w:r w:rsidDel="00000000" w:rsidR="00000000" w:rsidRPr="00000000">
        <w:rPr>
          <w:rFonts w:ascii="Montserrat" w:cs="Montserrat" w:eastAsia="Montserrat" w:hAnsi="Montserrat"/>
          <w:b w:val="1"/>
          <w:i w:val="1"/>
          <w:color w:val="222222"/>
          <w:sz w:val="22"/>
          <w:szCs w:val="22"/>
          <w:rtl w:val="0"/>
        </w:rPr>
        <w:t xml:space="preserve">Cada día cuenta</w:t>
      </w:r>
      <w:r w:rsidDel="00000000" w:rsidR="00000000" w:rsidRPr="00000000">
        <w:rPr>
          <w:rFonts w:ascii="Montserrat" w:cs="Montserrat" w:eastAsia="Montserrat" w:hAnsi="Montserrat"/>
          <w:b w:val="1"/>
          <w:color w:val="222222"/>
          <w:sz w:val="22"/>
          <w:szCs w:val="22"/>
          <w:rtl w:val="0"/>
        </w:rPr>
        <w:t xml:space="preserve">’.</w:t>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b w:val="1"/>
          <w:color w:val="222222"/>
          <w:rtl w:val="0"/>
        </w:rPr>
        <w:t xml:space="preserve">28 de mayo de 2025, </w:t>
      </w:r>
      <w:r w:rsidDel="00000000" w:rsidR="00000000" w:rsidRPr="00000000">
        <w:rPr>
          <w:rFonts w:ascii="Montserrat" w:cs="Montserrat" w:eastAsia="Montserrat" w:hAnsi="Montserrat"/>
          <w:b w:val="1"/>
          <w:color w:val="222222"/>
          <w:highlight w:val="white"/>
          <w:rtl w:val="0"/>
        </w:rPr>
        <w:t xml:space="preserve">Las Rozas de Madrid. </w:t>
      </w:r>
      <w:r w:rsidDel="00000000" w:rsidR="00000000" w:rsidRPr="00000000">
        <w:rPr>
          <w:rFonts w:ascii="Montserrat" w:cs="Montserrat" w:eastAsia="Montserrat" w:hAnsi="Montserrat"/>
          <w:color w:val="222222"/>
          <w:rtl w:val="0"/>
        </w:rPr>
        <w:t xml:space="preserve">En el marco de su compromiso con el bienestar de las personas y la sostenibilidad alimentaria, Grupo Dia y la Sociedad Española de Nutrición Comunitaria (SENC) han firmado un convenio de colaboración para desarrollar iniciativas de divulgación que fomenten una alimentación saludable y accesible.</w:t>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Con esta alianza, Dia y SENC reafirman su compromiso compartido de contribuir a una sociedad más saludable, equitativa y consciente, impulsando pequeños cambios cotidianos que marcan una gran diferencia en la calidad de vida de las personas. </w:t>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b w:val="1"/>
          <w:color w:val="222222"/>
        </w:rPr>
      </w:pPr>
      <w:r w:rsidDel="00000000" w:rsidR="00000000" w:rsidRPr="00000000">
        <w:rPr>
          <w:rFonts w:ascii="Montserrat" w:cs="Montserrat" w:eastAsia="Montserrat" w:hAnsi="Montserrat"/>
          <w:color w:val="222222"/>
          <w:rtl w:val="0"/>
        </w:rPr>
        <w:t xml:space="preserve">La alianza se ha formalizado este miércoles en la sede de Grupo Dia, en Las Rozas (Madrid), con la firma del acuerdo por parte de </w:t>
      </w:r>
      <w:r w:rsidDel="00000000" w:rsidR="00000000" w:rsidRPr="00000000">
        <w:rPr>
          <w:rFonts w:ascii="Montserrat" w:cs="Montserrat" w:eastAsia="Montserrat" w:hAnsi="Montserrat"/>
          <w:b w:val="1"/>
          <w:color w:val="222222"/>
          <w:rtl w:val="0"/>
        </w:rPr>
        <w:t xml:space="preserve">Martín Tolcachir, CEO de Grupo Dia</w:t>
      </w:r>
      <w:r w:rsidDel="00000000" w:rsidR="00000000" w:rsidRPr="00000000">
        <w:rPr>
          <w:rFonts w:ascii="Montserrat" w:cs="Montserrat" w:eastAsia="Montserrat" w:hAnsi="Montserrat"/>
          <w:color w:val="222222"/>
          <w:rtl w:val="0"/>
        </w:rPr>
        <w:t xml:space="preserve">, y </w:t>
      </w:r>
      <w:r w:rsidDel="00000000" w:rsidR="00000000" w:rsidRPr="00000000">
        <w:rPr>
          <w:rFonts w:ascii="Montserrat" w:cs="Montserrat" w:eastAsia="Montserrat" w:hAnsi="Montserrat"/>
          <w:b w:val="1"/>
          <w:color w:val="222222"/>
          <w:rtl w:val="0"/>
        </w:rPr>
        <w:t xml:space="preserve">Pilar Hermida, Directora de Comunicación y Sostenibilidad</w:t>
      </w:r>
      <w:r w:rsidDel="00000000" w:rsidR="00000000" w:rsidRPr="00000000">
        <w:rPr>
          <w:rFonts w:ascii="Montserrat" w:cs="Montserrat" w:eastAsia="Montserrat" w:hAnsi="Montserrat"/>
          <w:color w:val="222222"/>
          <w:rtl w:val="0"/>
        </w:rPr>
        <w:t xml:space="preserve"> de la compañía, junto al </w:t>
      </w:r>
      <w:r w:rsidDel="00000000" w:rsidR="00000000" w:rsidRPr="00000000">
        <w:rPr>
          <w:rFonts w:ascii="Montserrat" w:cs="Montserrat" w:eastAsia="Montserrat" w:hAnsi="Montserrat"/>
          <w:b w:val="1"/>
          <w:color w:val="222222"/>
          <w:rtl w:val="0"/>
        </w:rPr>
        <w:t xml:space="preserve">Dr. Javier Aranceta, presidente de la Sociedad Española de Nutrición Comunitaria (SENC).</w:t>
      </w:r>
      <w:r w:rsidDel="00000000" w:rsidR="00000000" w:rsidRPr="00000000">
        <w:rPr>
          <w:rtl w:val="0"/>
        </w:rPr>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b w:val="1"/>
          <w:color w:val="222222"/>
        </w:rPr>
      </w:pPr>
      <w:r w:rsidDel="00000000" w:rsidR="00000000" w:rsidRPr="00000000">
        <w:rPr>
          <w:rFonts w:ascii="Montserrat" w:cs="Montserrat" w:eastAsia="Montserrat" w:hAnsi="Montserrat"/>
          <w:color w:val="222222"/>
          <w:rtl w:val="0"/>
        </w:rPr>
        <w:t xml:space="preserve">“</w:t>
      </w:r>
      <w:r w:rsidDel="00000000" w:rsidR="00000000" w:rsidRPr="00000000">
        <w:rPr>
          <w:rFonts w:ascii="Montserrat" w:cs="Montserrat" w:eastAsia="Montserrat" w:hAnsi="Montserrat"/>
          <w:i w:val="1"/>
          <w:color w:val="222222"/>
          <w:rtl w:val="0"/>
        </w:rPr>
        <w:t xml:space="preserve">Estamos orgullosos de sumar el conocimiento y la experiencia de la SENC a nuestro compromiso con la alimentación saludable y el bienestar de las personas. Desde Grupo Dia, creemos firmemente que una alimentación saludable debe ser asequible, cercana y viable para todos los hogares, y a través de las acciones impulsadas bajo esta alianza seguimos avanzando en esa dirección a través de nuestro programa Comer mejor cada día</w:t>
      </w:r>
      <w:r w:rsidDel="00000000" w:rsidR="00000000" w:rsidRPr="00000000">
        <w:rPr>
          <w:rFonts w:ascii="Montserrat" w:cs="Montserrat" w:eastAsia="Montserrat" w:hAnsi="Montserrat"/>
          <w:color w:val="222222"/>
          <w:rtl w:val="0"/>
        </w:rPr>
        <w:t xml:space="preserve">”, señala </w:t>
      </w:r>
      <w:r w:rsidDel="00000000" w:rsidR="00000000" w:rsidRPr="00000000">
        <w:rPr>
          <w:rFonts w:ascii="Montserrat" w:cs="Montserrat" w:eastAsia="Montserrat" w:hAnsi="Montserrat"/>
          <w:b w:val="1"/>
          <w:color w:val="222222"/>
          <w:rtl w:val="0"/>
        </w:rPr>
        <w:t xml:space="preserve">Martín Tolcachir, CEO de Grupo Dia.</w:t>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La colaboración con SENC —una institución científica con más de tres décadas de trayectoria en la promoción de hábitos alimentarios saludables— garantiza el rigor técnico de las recomendaciones que Dia traslada a través de las acciones ligadas a su programa </w:t>
      </w:r>
      <w:r w:rsidDel="00000000" w:rsidR="00000000" w:rsidRPr="00000000">
        <w:rPr>
          <w:rFonts w:ascii="Montserrat" w:cs="Montserrat" w:eastAsia="Montserrat" w:hAnsi="Montserrat"/>
          <w:i w:val="1"/>
          <w:color w:val="222222"/>
          <w:rtl w:val="0"/>
        </w:rPr>
        <w:t xml:space="preserve">Comer mejor cada día</w:t>
      </w:r>
      <w:r w:rsidDel="00000000" w:rsidR="00000000" w:rsidRPr="00000000">
        <w:rPr>
          <w:rFonts w:ascii="Montserrat" w:cs="Montserrat" w:eastAsia="Montserrat" w:hAnsi="Montserrat"/>
          <w:color w:val="222222"/>
          <w:rtl w:val="0"/>
        </w:rPr>
        <w:t xml:space="preserve"> y suma otra alianza a su ecosistema de colaboradores para divulgar sobre hábitos y alimentación saludable. </w:t>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Por su parte, </w:t>
      </w:r>
      <w:r w:rsidDel="00000000" w:rsidR="00000000" w:rsidRPr="00000000">
        <w:rPr>
          <w:rFonts w:ascii="Montserrat" w:cs="Montserrat" w:eastAsia="Montserrat" w:hAnsi="Montserrat"/>
          <w:b w:val="1"/>
          <w:color w:val="222222"/>
          <w:rtl w:val="0"/>
        </w:rPr>
        <w:t xml:space="preserve">Pilar Hermida, Directora de Sostenibilidad de Grupo Dia</w:t>
      </w:r>
      <w:r w:rsidDel="00000000" w:rsidR="00000000" w:rsidRPr="00000000">
        <w:rPr>
          <w:rFonts w:ascii="Montserrat" w:cs="Montserrat" w:eastAsia="Montserrat" w:hAnsi="Montserrat"/>
          <w:b w:val="1"/>
          <w:color w:val="222222"/>
          <w:rtl w:val="0"/>
        </w:rPr>
        <w:t xml:space="preserve"> </w:t>
      </w:r>
      <w:r w:rsidDel="00000000" w:rsidR="00000000" w:rsidRPr="00000000">
        <w:rPr>
          <w:rFonts w:ascii="Montserrat" w:cs="Montserrat" w:eastAsia="Montserrat" w:hAnsi="Montserrat"/>
          <w:color w:val="222222"/>
          <w:rtl w:val="0"/>
        </w:rPr>
        <w:t xml:space="preserve">subraya que esta alianza responde “</w:t>
      </w:r>
      <w:r w:rsidDel="00000000" w:rsidR="00000000" w:rsidRPr="00000000">
        <w:rPr>
          <w:rFonts w:ascii="Montserrat" w:cs="Montserrat" w:eastAsia="Montserrat" w:hAnsi="Montserrat"/>
          <w:i w:val="1"/>
          <w:color w:val="222222"/>
          <w:rtl w:val="0"/>
        </w:rPr>
        <w:t xml:space="preserve">al propósito de la compañía de estar ‘Cada día más cerca’ de sus clientes, reforzando su papel como aliado de los hogares también a la hora de adoptar hábitos de alimentación saludables en los barrios y comunidades en los que opera</w:t>
      </w:r>
      <w:r w:rsidDel="00000000" w:rsidR="00000000" w:rsidRPr="00000000">
        <w:rPr>
          <w:rFonts w:ascii="Montserrat" w:cs="Montserrat" w:eastAsia="Montserrat" w:hAnsi="Montserrat"/>
          <w:color w:val="222222"/>
          <w:rtl w:val="0"/>
        </w:rPr>
        <w:t xml:space="preserve">”. </w:t>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w:t>
      </w:r>
      <w:r w:rsidDel="00000000" w:rsidR="00000000" w:rsidRPr="00000000">
        <w:rPr>
          <w:rFonts w:ascii="Montserrat" w:cs="Montserrat" w:eastAsia="Montserrat" w:hAnsi="Montserrat"/>
          <w:i w:val="1"/>
          <w:color w:val="222222"/>
          <w:rtl w:val="0"/>
        </w:rPr>
        <w:t xml:space="preserve">Una alimentación saludable no debe ser un privilegio, sino un derecho al alcance de todos. Esta guía pone en manos de la ciudadanía herramientas sencillas y prácticas para tomar mejores decisiones alimentarias desde la base: la cesta de la compra</w:t>
      </w:r>
      <w:r w:rsidDel="00000000" w:rsidR="00000000" w:rsidRPr="00000000">
        <w:rPr>
          <w:rFonts w:ascii="Montserrat" w:cs="Montserrat" w:eastAsia="Montserrat" w:hAnsi="Montserrat"/>
          <w:color w:val="222222"/>
          <w:rtl w:val="0"/>
        </w:rPr>
        <w:t xml:space="preserve">”, destaca el </w:t>
      </w:r>
      <w:r w:rsidDel="00000000" w:rsidR="00000000" w:rsidRPr="00000000">
        <w:rPr>
          <w:rFonts w:ascii="Montserrat" w:cs="Montserrat" w:eastAsia="Montserrat" w:hAnsi="Montserrat"/>
          <w:b w:val="1"/>
          <w:color w:val="222222"/>
          <w:rtl w:val="0"/>
        </w:rPr>
        <w:t xml:space="preserve">Dr. Javier Aranceta, presidente del Comité Científico de la SENC</w:t>
      </w:r>
      <w:r w:rsidDel="00000000" w:rsidR="00000000" w:rsidRPr="00000000">
        <w:rPr>
          <w:rFonts w:ascii="Montserrat" w:cs="Montserrat" w:eastAsia="Montserrat" w:hAnsi="Montserrat"/>
          <w:color w:val="222222"/>
          <w:rtl w:val="0"/>
        </w:rPr>
        <w:t xml:space="preserve"> y figura de referencia internacional en salud pública y nutrición.</w:t>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b w:val="1"/>
          <w:color w:val="e30513"/>
        </w:rPr>
      </w:pPr>
      <w:r w:rsidDel="00000000" w:rsidR="00000000" w:rsidRPr="00000000">
        <w:rPr>
          <w:rFonts w:ascii="Montserrat" w:cs="Montserrat" w:eastAsia="Montserrat" w:hAnsi="Montserrat"/>
          <w:b w:val="1"/>
          <w:color w:val="e30513"/>
          <w:rtl w:val="0"/>
        </w:rPr>
        <w:t xml:space="preserve">Guía para una compra inteligente y saludable</w:t>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La ‘</w:t>
      </w:r>
      <w:r w:rsidDel="00000000" w:rsidR="00000000" w:rsidRPr="00000000">
        <w:rPr>
          <w:rFonts w:ascii="Montserrat" w:cs="Montserrat" w:eastAsia="Montserrat" w:hAnsi="Montserrat"/>
          <w:b w:val="1"/>
          <w:color w:val="222222"/>
          <w:rtl w:val="0"/>
        </w:rPr>
        <w:t xml:space="preserve">Guía para una compra inteligente y saludable’ </w:t>
      </w:r>
      <w:r w:rsidDel="00000000" w:rsidR="00000000" w:rsidRPr="00000000">
        <w:rPr>
          <w:rFonts w:ascii="Montserrat" w:cs="Montserrat" w:eastAsia="Montserrat" w:hAnsi="Montserrat"/>
          <w:color w:val="222222"/>
          <w:rtl w:val="0"/>
        </w:rPr>
        <w:t xml:space="preserve">es el primer fruto de esta alianza y muestra el afán conjunto de facilitar a la ciudadanía herramientas prácticas para mejorar su alimentación diaria a través de decisiones más informadas y conscientes en el momento de planificar y realizar la compra de alimentos en su hogar. </w:t>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La guía, desarrollada con el aval de la SENC, ofrece recomendaciones fáciles y accesibles para planificar la compra, llenar la cesta de forma equilibrada y conservar los alimentos de manera segura y eficiente en el hogar. Está estructurada en tres pasos clave —Planificar, Comprar, Hogar— que ayudan a las personas a organizar sus hábitos alimentarios desde el diseño del menú semanal hasta el aprovechamiento de los alimentos, minimizando el desperdicio. En definitiva, una herramienta para que cada persona planifique su compra de forma consciente, pensando en la salud y la sostenibilidad, y que, junto con una vida activa y el fomento del equilibrio emocional, contribuya a promover la salud y la calidad de vida, objetivo prioritario de esta iniciativa de Dia y SENC. </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b w:val="1"/>
          <w:color w:val="222222"/>
        </w:rPr>
      </w:pPr>
      <w:r w:rsidDel="00000000" w:rsidR="00000000" w:rsidRPr="00000000">
        <w:rPr>
          <w:rFonts w:ascii="Montserrat" w:cs="Montserrat" w:eastAsia="Montserrat" w:hAnsi="Montserrat"/>
          <w:color w:val="222222"/>
          <w:rtl w:val="0"/>
        </w:rPr>
        <w:t xml:space="preserve">Esta guía se enmarca dentro de las acciones de divulgación del programa </w:t>
      </w:r>
      <w:hyperlink r:id="rId7">
        <w:r w:rsidDel="00000000" w:rsidR="00000000" w:rsidRPr="00000000">
          <w:rPr>
            <w:rFonts w:ascii="Montserrat" w:cs="Montserrat" w:eastAsia="Montserrat" w:hAnsi="Montserrat"/>
            <w:i w:val="1"/>
            <w:color w:val="1155cc"/>
            <w:u w:val="single"/>
            <w:rtl w:val="0"/>
          </w:rPr>
          <w:t xml:space="preserve">Comer mejor cada día</w:t>
        </w:r>
      </w:hyperlink>
      <w:r w:rsidDel="00000000" w:rsidR="00000000" w:rsidRPr="00000000">
        <w:rPr>
          <w:rFonts w:ascii="Montserrat" w:cs="Montserrat" w:eastAsia="Montserrat" w:hAnsi="Montserrat"/>
          <w:color w:val="222222"/>
          <w:rtl w:val="0"/>
        </w:rPr>
        <w:t xml:space="preserve">, impulsado por Dia como parte de su Plan de Sostenibilidad 2024-2025, ‘</w:t>
      </w:r>
      <w:r w:rsidDel="00000000" w:rsidR="00000000" w:rsidRPr="00000000">
        <w:rPr>
          <w:rFonts w:ascii="Montserrat" w:cs="Montserrat" w:eastAsia="Montserrat" w:hAnsi="Montserrat"/>
          <w:i w:val="1"/>
          <w:color w:val="222222"/>
          <w:rtl w:val="0"/>
        </w:rPr>
        <w:t xml:space="preserve">Cada día cuenta</w:t>
      </w:r>
      <w:r w:rsidDel="00000000" w:rsidR="00000000" w:rsidRPr="00000000">
        <w:rPr>
          <w:rFonts w:ascii="Montserrat" w:cs="Montserrat" w:eastAsia="Montserrat" w:hAnsi="Montserrat"/>
          <w:color w:val="222222"/>
          <w:rtl w:val="0"/>
        </w:rPr>
        <w:t xml:space="preserve">’. El documento agrupa consejos para seguir una dieta equilibrada y optimizar el presupuesto y suma las recomendaciones de la SENC para planificar y realizar la compra de forma saludable y organizar y conservar de forma correcta los alimentos para un mayor disfrute en el hogar. La guía está disponible en formato digital en la página web de </w:t>
      </w:r>
      <w:hyperlink r:id="rId8">
        <w:r w:rsidDel="00000000" w:rsidR="00000000" w:rsidRPr="00000000">
          <w:rPr>
            <w:rFonts w:ascii="Montserrat" w:cs="Montserrat" w:eastAsia="Montserrat" w:hAnsi="Montserrat"/>
            <w:i w:val="1"/>
            <w:color w:val="1155cc"/>
            <w:u w:val="single"/>
            <w:rtl w:val="0"/>
          </w:rPr>
          <w:t xml:space="preserve">Comer mejor cada día </w:t>
        </w:r>
      </w:hyperlink>
      <w:hyperlink r:id="rId9">
        <w:r w:rsidDel="00000000" w:rsidR="00000000" w:rsidRPr="00000000">
          <w:rPr>
            <w:rFonts w:ascii="Montserrat" w:cs="Montserrat" w:eastAsia="Montserrat" w:hAnsi="Montserrat"/>
            <w:color w:val="1155cc"/>
            <w:u w:val="single"/>
            <w:rtl w:val="0"/>
          </w:rPr>
          <w:t xml:space="preserve">de Dia España</w:t>
        </w:r>
      </w:hyperlink>
      <w:r w:rsidDel="00000000" w:rsidR="00000000" w:rsidRPr="00000000">
        <w:rPr>
          <w:rFonts w:ascii="Montserrat" w:cs="Montserrat" w:eastAsia="Montserrat" w:hAnsi="Montserrat"/>
          <w:color w:val="222222"/>
          <w:rtl w:val="0"/>
        </w:rPr>
        <w:t xml:space="preserve"> y en su </w:t>
      </w:r>
      <w:hyperlink r:id="rId10">
        <w:r w:rsidDel="00000000" w:rsidR="00000000" w:rsidRPr="00000000">
          <w:rPr>
            <w:rFonts w:ascii="Montserrat" w:cs="Montserrat" w:eastAsia="Montserrat" w:hAnsi="Montserrat"/>
            <w:color w:val="1155cc"/>
            <w:u w:val="single"/>
            <w:rtl w:val="0"/>
          </w:rPr>
          <w:t xml:space="preserve">página web corporativa</w:t>
        </w:r>
      </w:hyperlink>
      <w:r w:rsidDel="00000000" w:rsidR="00000000" w:rsidRPr="00000000">
        <w:rPr>
          <w:rFonts w:ascii="Montserrat" w:cs="Montserrat" w:eastAsia="Montserrat" w:hAnsi="Montserrat"/>
          <w:color w:val="222222"/>
          <w:rtl w:val="0"/>
        </w:rPr>
        <w:t xml:space="preserve">, y se distribuirá de forma física en tiendas seleccionadas</w:t>
      </w:r>
      <w:r w:rsidDel="00000000" w:rsidR="00000000" w:rsidRPr="00000000">
        <w:rPr>
          <w:rFonts w:ascii="Montserrat" w:cs="Montserrat" w:eastAsia="Montserrat" w:hAnsi="Montserrat"/>
          <w:color w:val="222222"/>
          <w:rtl w:val="0"/>
        </w:rPr>
        <w:t xml:space="preserve">.</w:t>
      </w:r>
      <w:r w:rsidDel="00000000" w:rsidR="00000000" w:rsidRPr="00000000">
        <w:rPr>
          <w:rtl w:val="0"/>
        </w:rPr>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A través de este programa, Dia busca contribuir a mitigar las barreras alimentarias y facilitar la adopción de hábitos saludables en todos los hogares, especialmente en contextos donde el acceso a productos frescos o información nutricional puede ser limitado.</w:t>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276" w:lineRule="auto"/>
        <w:ind w:right="-409"/>
        <w:jc w:val="both"/>
        <w:rPr>
          <w:rFonts w:ascii="Montserrat" w:cs="Montserrat" w:eastAsia="Montserrat" w:hAnsi="Montserrat"/>
          <w:color w:val="222222"/>
        </w:rPr>
      </w:pPr>
      <w:r w:rsidDel="00000000" w:rsidR="00000000" w:rsidRPr="00000000">
        <w:rPr>
          <w:rFonts w:ascii="Montserrat" w:cs="Montserrat" w:eastAsia="Montserrat" w:hAnsi="Montserrat"/>
          <w:color w:val="222222"/>
          <w:rtl w:val="0"/>
        </w:rPr>
        <w:t xml:space="preserve">Esta Guía se suma a las acciones de divulgación sobre alimentación y hábitos saludables que la compañía realiza a través de </w:t>
      </w:r>
      <w:hyperlink r:id="rId11">
        <w:r w:rsidDel="00000000" w:rsidR="00000000" w:rsidRPr="00000000">
          <w:rPr>
            <w:rFonts w:ascii="Montserrat" w:cs="Montserrat" w:eastAsia="Montserrat" w:hAnsi="Montserrat"/>
            <w:color w:val="1155cc"/>
            <w:u w:val="single"/>
            <w:rtl w:val="0"/>
          </w:rPr>
          <w:t xml:space="preserve">dia.es</w:t>
        </w:r>
      </w:hyperlink>
      <w:r w:rsidDel="00000000" w:rsidR="00000000" w:rsidRPr="00000000">
        <w:rPr>
          <w:rFonts w:ascii="Montserrat" w:cs="Montserrat" w:eastAsia="Montserrat" w:hAnsi="Montserrat"/>
          <w:color w:val="222222"/>
          <w:rtl w:val="0"/>
        </w:rPr>
        <w:t xml:space="preserve"> y sus redes sociales (Instagram y Facebook), y subraya su compromiso con los clientes de facilitar herramientas para que puedan comer mejor cada día. </w:t>
      </w:r>
      <w:r w:rsidDel="00000000" w:rsidR="00000000" w:rsidRPr="00000000">
        <w:rPr>
          <w:rtl w:val="0"/>
        </w:rPr>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ind w:right="-409"/>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13">
      <w:pPr>
        <w:spacing w:after="120" w:lineRule="auto"/>
        <w:ind w:right="-409"/>
        <w:jc w:val="both"/>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14">
      <w:pPr>
        <w:spacing w:after="120" w:lineRule="auto"/>
        <w:ind w:right="-409"/>
        <w:jc w:val="both"/>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15">
      <w:pPr>
        <w:ind w:right="-409"/>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16">
      <w:pPr>
        <w:ind w:right="-409"/>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7">
      <w:pPr>
        <w:ind w:right="-409"/>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18">
      <w:pPr>
        <w:ind w:right="-409"/>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9">
      <w:pPr>
        <w:ind w:right="-409"/>
        <w:jc w:val="both"/>
        <w:rPr>
          <w:rFonts w:ascii="Montserrat" w:cs="Montserrat" w:eastAsia="Montserrat" w:hAnsi="Montserrat"/>
          <w:sz w:val="14"/>
          <w:szCs w:val="14"/>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r w:rsidDel="00000000" w:rsidR="00000000" w:rsidRPr="00000000">
        <w:rPr>
          <w:rtl w:val="0"/>
        </w:rPr>
      </w:r>
    </w:p>
    <w:p w:rsidR="00000000" w:rsidDel="00000000" w:rsidP="00000000" w:rsidRDefault="00000000" w:rsidRPr="00000000" w14:paraId="0000001A">
      <w:pPr>
        <w:tabs>
          <w:tab w:val="center" w:leader="none" w:pos="4252"/>
          <w:tab w:val="right" w:leader="none" w:pos="8504"/>
        </w:tabs>
        <w:ind w:right="-409"/>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#CadaDiaMásCerca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2">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tl w:val="0"/>
        </w:rPr>
      </w:r>
    </w:p>
    <w:p w:rsidR="00000000" w:rsidDel="00000000" w:rsidP="00000000" w:rsidRDefault="00000000" w:rsidRPr="00000000" w14:paraId="0000001C">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1D">
      <w:pP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1E">
      <w:pPr>
        <w:tabs>
          <w:tab w:val="center" w:leader="none" w:pos="4252"/>
          <w:tab w:val="right" w:leader="none" w:pos="8504"/>
        </w:tabs>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Para más información:</w:t>
      </w:r>
    </w:p>
    <w:p w:rsidR="00000000" w:rsidDel="00000000" w:rsidP="00000000" w:rsidRDefault="00000000" w:rsidRPr="00000000" w14:paraId="0000001F">
      <w:pPr>
        <w:tabs>
          <w:tab w:val="center" w:leader="none" w:pos="4252"/>
          <w:tab w:val="right" w:leader="none" w:pos="8504"/>
        </w:tabs>
        <w:rPr>
          <w:rFonts w:ascii="Montserrat Medium" w:cs="Montserrat Medium" w:eastAsia="Montserrat Medium" w:hAnsi="Montserrat Medium"/>
          <w:b w:val="1"/>
          <w:sz w:val="16"/>
          <w:szCs w:val="16"/>
        </w:rPr>
      </w:pPr>
      <w:r w:rsidDel="00000000" w:rsidR="00000000" w:rsidRPr="00000000">
        <w:rPr>
          <w:rtl w:val="0"/>
        </w:rPr>
      </w:r>
    </w:p>
    <w:p w:rsidR="00000000" w:rsidDel="00000000" w:rsidP="00000000" w:rsidRDefault="00000000" w:rsidRPr="00000000" w14:paraId="00000020">
      <w:pPr>
        <w:tabs>
          <w:tab w:val="center" w:leader="none" w:pos="4252"/>
          <w:tab w:val="right" w:leader="none" w:pos="8504"/>
        </w:tabs>
        <w:spacing w:after="120" w:lineRule="auto"/>
        <w:rPr>
          <w:rFonts w:ascii="Montserrat" w:cs="Montserrat" w:eastAsia="Montserrat" w:hAnsi="Montserrat"/>
          <w:sz w:val="16"/>
          <w:szCs w:val="16"/>
        </w:rPr>
      </w:pPr>
      <w:r w:rsidDel="00000000" w:rsidR="00000000" w:rsidRPr="00000000">
        <w:rPr>
          <w:rFonts w:ascii="Montserrat Medium" w:cs="Montserrat Medium" w:eastAsia="Montserrat Medium" w:hAnsi="Montserrat Medium"/>
          <w:b w:val="1"/>
          <w:sz w:val="16"/>
          <w:szCs w:val="16"/>
          <w:rtl w:val="0"/>
        </w:rPr>
        <w:t xml:space="preserve">Grupo Dia | </w:t>
      </w:r>
      <w:r w:rsidDel="00000000" w:rsidR="00000000" w:rsidRPr="00000000">
        <w:rPr>
          <w:rFonts w:ascii="Montserrat" w:cs="Montserrat" w:eastAsia="Montserrat" w:hAnsi="Montserrat"/>
          <w:sz w:val="16"/>
          <w:szCs w:val="16"/>
          <w:rtl w:val="0"/>
        </w:rPr>
        <w:t xml:space="preserve">Ainhoa Murga | </w:t>
      </w:r>
      <w:hyperlink r:id="rId13">
        <w:r w:rsidDel="00000000" w:rsidR="00000000" w:rsidRPr="00000000">
          <w:rPr>
            <w:rFonts w:ascii="Montserrat" w:cs="Montserrat" w:eastAsia="Montserrat" w:hAnsi="Montserrat"/>
            <w:color w:val="1155cc"/>
            <w:sz w:val="16"/>
            <w:szCs w:val="16"/>
            <w:u w:val="single"/>
            <w:rtl w:val="0"/>
          </w:rPr>
          <w:t xml:space="preserve">ainhoa.murga@diagroup.com</w:t>
        </w:r>
      </w:hyperlink>
      <w:r w:rsidDel="00000000" w:rsidR="00000000" w:rsidRPr="00000000">
        <w:rPr>
          <w:rFonts w:ascii="Montserrat" w:cs="Montserrat" w:eastAsia="Montserrat" w:hAnsi="Montserrat"/>
          <w:sz w:val="16"/>
          <w:szCs w:val="16"/>
          <w:rtl w:val="0"/>
        </w:rPr>
        <w:t xml:space="preserve"> | +34 608 710 511</w:t>
      </w:r>
    </w:p>
    <w:sectPr>
      <w:headerReference r:id="rId14" w:type="default"/>
      <w:footerReference r:id="rId15"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Fonts w:ascii="Montserrat" w:cs="Montserrat" w:eastAsia="Montserrat" w:hAnsi="Montserrat"/>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0</wp:posOffset>
              </wp:positionV>
              <wp:extent cx="1270000" cy="441960"/>
              <wp:effectExtent b="0" l="0" r="0" t="0"/>
              <wp:wrapNone/>
              <wp:docPr id="1980250093"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0</wp:posOffset>
              </wp:positionV>
              <wp:extent cx="1270000" cy="441960"/>
              <wp:effectExtent b="0" l="0" r="0" t="0"/>
              <wp:wrapNone/>
              <wp:docPr id="198025009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70000" cy="441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270000" cy="441960"/>
              <wp:effectExtent b="0" l="0" r="0" t="0"/>
              <wp:wrapNone/>
              <wp:docPr id="1980250092"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1270000" cy="441960"/>
              <wp:effectExtent b="0" l="0" r="0" t="0"/>
              <wp:wrapNone/>
              <wp:docPr id="198025009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00" cy="441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4546600</wp:posOffset>
              </wp:positionH>
              <wp:positionV relativeFrom="paragraph">
                <wp:posOffset>0</wp:posOffset>
              </wp:positionV>
              <wp:extent cx="1413510" cy="441960"/>
              <wp:effectExtent b="0" l="0" r="0" t="0"/>
              <wp:wrapNone/>
              <wp:docPr id="1980250094"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4546600</wp:posOffset>
              </wp:positionH>
              <wp:positionV relativeFrom="paragraph">
                <wp:posOffset>0</wp:posOffset>
              </wp:positionV>
              <wp:extent cx="1413510" cy="441960"/>
              <wp:effectExtent b="0" l="0" r="0" t="0"/>
              <wp:wrapNone/>
              <wp:docPr id="198025009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413510" cy="4419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98025009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-558773</wp:posOffset>
          </wp:positionH>
          <wp:positionV relativeFrom="paragraph">
            <wp:posOffset>152188</wp:posOffset>
          </wp:positionV>
          <wp:extent cx="263525" cy="263525"/>
          <wp:effectExtent b="0" l="0" r="0" t="0"/>
          <wp:wrapSquare wrapText="bothSides" distB="0" distT="0" distL="114300" distR="114300"/>
          <wp:docPr id="1980250096"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-1076301</wp:posOffset>
          </wp:positionH>
          <wp:positionV relativeFrom="paragraph">
            <wp:posOffset>-447643</wp:posOffset>
          </wp:positionV>
          <wp:extent cx="7703159" cy="1119928"/>
          <wp:effectExtent b="0" l="0" r="0" t="0"/>
          <wp:wrapSquare wrapText="bothSides" distB="0" distT="0" distL="114300" distR="114300"/>
          <wp:docPr descr="Imagen que contiene Interfaz de usuario gráfica&#10;&#10;Descripción generada automáticamente" id="1980250095" name="image3.png"/>
          <a:graphic>
            <a:graphicData uri="http://schemas.openxmlformats.org/drawingml/2006/picture">
              <pic:pic>
                <pic:nvPicPr>
                  <pic:cNvPr descr="Imagen que contiene Interfaz de usuario gráfica&#10;&#10;Descripción generada automáticamente" id="0" name="image3.png"/>
                  <pic:cNvPicPr preferRelativeResize="0"/>
                </pic:nvPicPr>
                <pic:blipFill>
                  <a:blip r:embed="rId1"/>
                  <a:srcRect b="0" l="0" r="0" t="0"/>
                  <a:stretch>
                    <a:fillRect/>
                  </a:stretch>
                </pic:blipFill>
                <pic:spPr>
                  <a:xfrm>
                    <a:off x="0" y="0"/>
                    <a:ext cx="7703159" cy="11199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34" w:customStyle="1">
    <w:name w:val="Table Normal34"/>
    <w:tblPr>
      <w:tblCellMar>
        <w:top w:w="0.0" w:type="dxa"/>
        <w:left w:w="0.0" w:type="dxa"/>
        <w:bottom w:w="0.0" w:type="dxa"/>
        <w:right w:w="0.0" w:type="dxa"/>
      </w:tblCellMar>
    </w:tblPr>
  </w:style>
  <w:style w:type="table" w:styleId="TableNormal33" w:customStyle="1">
    <w:name w:val="Table Normal33"/>
    <w:tblPr>
      <w:tblCellMar>
        <w:top w:w="0.0" w:type="dxa"/>
        <w:left w:w="0.0" w:type="dxa"/>
        <w:bottom w:w="0.0" w:type="dxa"/>
        <w:right w:w="0.0" w:type="dxa"/>
      </w:tblCellMar>
    </w:tblPr>
  </w:style>
  <w:style w:type="table" w:styleId="TableNormal32" w:customStyle="1">
    <w:name w:val="Table Normal32"/>
    <w:tblPr>
      <w:tblCellMar>
        <w:top w:w="0.0" w:type="dxa"/>
        <w:left w:w="0.0" w:type="dxa"/>
        <w:bottom w:w="0.0" w:type="dxa"/>
        <w:right w:w="0.0" w:type="dxa"/>
      </w:tblCellMar>
    </w:tblPr>
  </w:style>
  <w:style w:type="table" w:styleId="TableNormal31" w:customStyle="1">
    <w:name w:val="Table Normal31"/>
    <w:tblPr>
      <w:tblCellMar>
        <w:top w:w="0.0" w:type="dxa"/>
        <w:left w:w="0.0" w:type="dxa"/>
        <w:bottom w:w="0.0" w:type="dxa"/>
        <w:right w:w="0.0" w:type="dxa"/>
      </w:tblCellMar>
    </w:tblPr>
  </w:style>
  <w:style w:type="table" w:styleId="TableNormal30" w:customStyle="1">
    <w:name w:val="Table Normal30"/>
    <w:tblPr>
      <w:tblCellMar>
        <w:top w:w="0.0" w:type="dxa"/>
        <w:left w:w="0.0" w:type="dxa"/>
        <w:bottom w:w="0.0" w:type="dxa"/>
        <w:right w:w="0.0" w:type="dxa"/>
      </w:tblCellMar>
    </w:tblPr>
  </w:style>
  <w:style w:type="table" w:styleId="TableNormal29" w:customStyle="1">
    <w:name w:val="Table Normal29"/>
    <w:tblPr>
      <w:tblCellMar>
        <w:top w:w="0.0" w:type="dxa"/>
        <w:left w:w="0.0" w:type="dxa"/>
        <w:bottom w:w="0.0" w:type="dxa"/>
        <w:right w:w="0.0" w:type="dxa"/>
      </w:tblCellMar>
    </w:tblPr>
  </w:style>
  <w:style w:type="table" w:styleId="TableNormal28" w:customStyle="1">
    <w:name w:val="Table Normal28"/>
    <w:tblPr>
      <w:tblCellMar>
        <w:top w:w="0.0" w:type="dxa"/>
        <w:left w:w="0.0" w:type="dxa"/>
        <w:bottom w:w="0.0" w:type="dxa"/>
        <w:right w:w="0.0" w:type="dxa"/>
      </w:tblCellMar>
    </w:tblPr>
  </w:style>
  <w:style w:type="table" w:styleId="TableNormal27" w:customStyle="1">
    <w:name w:val="Table Normal27"/>
    <w:rsid w:val="00EC4A76"/>
    <w:tblPr>
      <w:tblCellMar>
        <w:top w:w="0.0" w:type="dxa"/>
        <w:left w:w="0.0" w:type="dxa"/>
        <w:bottom w:w="0.0" w:type="dxa"/>
        <w:right w:w="0.0" w:type="dxa"/>
      </w:tblCellMar>
    </w:tblPr>
  </w:style>
  <w:style w:type="table" w:styleId="TableNormal19" w:customStyle="1">
    <w:name w:val="Table Normal19"/>
    <w:rsid w:val="00BF371E"/>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A6747B"/>
    <w:rPr>
      <w:color w:val="0000ff" w:themeColor="hyperlink"/>
      <w:u w:val="single"/>
    </w:rPr>
  </w:style>
  <w:style w:type="character" w:styleId="UnresolvedMention">
    <w:name w:val="Unresolved Mention"/>
    <w:basedOn w:val="DefaultParagraphFont"/>
    <w:uiPriority w:val="99"/>
    <w:semiHidden w:val="1"/>
    <w:unhideWhenUsed w:val="1"/>
    <w:rsid w:val="00A6747B"/>
    <w:rPr>
      <w:color w:val="605e5c"/>
      <w:shd w:color="auto" w:fill="e1dfdd" w:val="clear"/>
    </w:rPr>
  </w:style>
  <w:style w:type="paragraph" w:styleId="NormalWeb">
    <w:name w:val="Normal (Web)"/>
    <w:basedOn w:val="Normal"/>
    <w:uiPriority w:val="99"/>
    <w:semiHidden w:val="1"/>
    <w:unhideWhenUsed w:val="1"/>
    <w:rsid w:val="004D795E"/>
  </w:style>
  <w:style w:type="paragraph" w:styleId="Header">
    <w:name w:val="header"/>
    <w:basedOn w:val="Normal"/>
    <w:link w:val="HeaderChar"/>
    <w:uiPriority w:val="99"/>
    <w:unhideWhenUsed w:val="1"/>
    <w:rsid w:val="008E6FAA"/>
    <w:pPr>
      <w:tabs>
        <w:tab w:val="center" w:pos="4252"/>
        <w:tab w:val="right" w:pos="8504"/>
      </w:tabs>
    </w:pPr>
  </w:style>
  <w:style w:type="character" w:styleId="HeaderChar" w:customStyle="1">
    <w:name w:val="Header Char"/>
    <w:basedOn w:val="DefaultParagraphFont"/>
    <w:link w:val="Header"/>
    <w:uiPriority w:val="99"/>
    <w:rsid w:val="008E6FAA"/>
  </w:style>
  <w:style w:type="paragraph" w:styleId="Footer">
    <w:name w:val="footer"/>
    <w:basedOn w:val="Normal"/>
    <w:link w:val="FooterChar"/>
    <w:uiPriority w:val="99"/>
    <w:unhideWhenUsed w:val="1"/>
    <w:rsid w:val="008E6FAA"/>
    <w:pPr>
      <w:tabs>
        <w:tab w:val="center" w:pos="4252"/>
        <w:tab w:val="right" w:pos="8504"/>
      </w:tabs>
    </w:pPr>
  </w:style>
  <w:style w:type="character" w:styleId="FooterChar" w:customStyle="1">
    <w:name w:val="Footer Char"/>
    <w:basedOn w:val="DefaultParagraphFont"/>
    <w:link w:val="Footer"/>
    <w:uiPriority w:val="99"/>
    <w:rsid w:val="008E6FAA"/>
  </w:style>
  <w:style w:type="paragraph" w:styleId="Caption">
    <w:name w:val="caption"/>
    <w:basedOn w:val="Normal"/>
    <w:next w:val="Normal"/>
    <w:uiPriority w:val="35"/>
    <w:unhideWhenUsed w:val="1"/>
    <w:qFormat w:val="1"/>
    <w:rsid w:val="00A073BA"/>
    <w:pPr>
      <w:spacing w:after="200"/>
    </w:pPr>
    <w:rPr>
      <w:i w:val="1"/>
      <w:iCs w:val="1"/>
      <w:color w:val="1f497d" w:themeColor="text2"/>
      <w:sz w:val="18"/>
      <w:szCs w:val="18"/>
    </w:rPr>
  </w:style>
  <w:style w:type="table" w:styleId="TableNormal10" w:customStyle="1">
    <w:name w:val="Table Normal1"/>
    <w:rsid w:val="00814304"/>
    <w:tblPr>
      <w:tblCellMar>
        <w:top w:w="0.0" w:type="dxa"/>
        <w:left w:w="0.0" w:type="dxa"/>
        <w:bottom w:w="0.0" w:type="dxa"/>
        <w:right w:w="0.0" w:type="dxa"/>
      </w:tblCellMar>
    </w:tblPr>
  </w:style>
  <w:style w:type="table" w:styleId="TableNormal20" w:customStyle="1">
    <w:name w:val="Table Normal2"/>
    <w:rsid w:val="00814304"/>
    <w:tblPr>
      <w:tblCellMar>
        <w:top w:w="0.0" w:type="dxa"/>
        <w:left w:w="0.0" w:type="dxa"/>
        <w:bottom w:w="0.0" w:type="dxa"/>
        <w:right w:w="0.0" w:type="dxa"/>
      </w:tblCellMar>
    </w:tblPr>
  </w:style>
  <w:style w:type="table" w:styleId="TableNormal35" w:customStyle="1">
    <w:name w:val="Table Normal3"/>
    <w:rsid w:val="00814304"/>
    <w:tblPr>
      <w:tblCellMar>
        <w:top w:w="0.0" w:type="dxa"/>
        <w:left w:w="0.0" w:type="dxa"/>
        <w:bottom w:w="0.0" w:type="dxa"/>
        <w:right w:w="0.0" w:type="dxa"/>
      </w:tblCellMar>
    </w:tblPr>
  </w:style>
  <w:style w:type="table" w:styleId="TableNormal4" w:customStyle="1">
    <w:name w:val="Table Normal4"/>
    <w:rsid w:val="00814304"/>
    <w:tblPr>
      <w:tblCellMar>
        <w:top w:w="0.0" w:type="dxa"/>
        <w:left w:w="0.0" w:type="dxa"/>
        <w:bottom w:w="0.0" w:type="dxa"/>
        <w:right w:w="0.0" w:type="dxa"/>
      </w:tblCellMar>
    </w:tblPr>
  </w:style>
  <w:style w:type="table" w:styleId="TableNormal5" w:customStyle="1">
    <w:name w:val="Table Normal5"/>
    <w:rsid w:val="00814304"/>
    <w:tblPr>
      <w:tblCellMar>
        <w:top w:w="0.0" w:type="dxa"/>
        <w:left w:w="0.0" w:type="dxa"/>
        <w:bottom w:w="0.0" w:type="dxa"/>
        <w:right w:w="0.0" w:type="dxa"/>
      </w:tblCellMar>
    </w:tblPr>
  </w:style>
  <w:style w:type="table" w:styleId="TableNormal6" w:customStyle="1">
    <w:name w:val="Table Normal6"/>
    <w:rsid w:val="00814304"/>
    <w:tblPr>
      <w:tblCellMar>
        <w:top w:w="0.0" w:type="dxa"/>
        <w:left w:w="0.0" w:type="dxa"/>
        <w:bottom w:w="0.0" w:type="dxa"/>
        <w:right w:w="0.0" w:type="dxa"/>
      </w:tblCellMar>
    </w:tblPr>
  </w:style>
  <w:style w:type="table" w:styleId="TableNormal7" w:customStyle="1">
    <w:name w:val="Table Normal7"/>
    <w:rsid w:val="00814304"/>
    <w:tblPr>
      <w:tblCellMar>
        <w:top w:w="0.0" w:type="dxa"/>
        <w:left w:w="0.0" w:type="dxa"/>
        <w:bottom w:w="0.0" w:type="dxa"/>
        <w:right w:w="0.0" w:type="dxa"/>
      </w:tblCellMar>
    </w:tblPr>
  </w:style>
  <w:style w:type="table" w:styleId="TableNormal8" w:customStyle="1">
    <w:name w:val="Table Normal8"/>
    <w:rsid w:val="00814304"/>
    <w:tblPr>
      <w:tblCellMar>
        <w:top w:w="0.0" w:type="dxa"/>
        <w:left w:w="0.0" w:type="dxa"/>
        <w:bottom w:w="0.0" w:type="dxa"/>
        <w:right w:w="0.0" w:type="dxa"/>
      </w:tblCellMar>
    </w:tblPr>
  </w:style>
  <w:style w:type="table" w:styleId="TableNormal9" w:customStyle="1">
    <w:name w:val="Table Normal9"/>
    <w:rsid w:val="00814304"/>
    <w:tblPr>
      <w:tblCellMar>
        <w:top w:w="0.0" w:type="dxa"/>
        <w:left w:w="0.0" w:type="dxa"/>
        <w:bottom w:w="0.0" w:type="dxa"/>
        <w:right w:w="0.0" w:type="dxa"/>
      </w:tblCellMar>
    </w:tblPr>
  </w:style>
  <w:style w:type="table" w:styleId="TableNormal100" w:customStyle="1">
    <w:name w:val="Table Normal10"/>
    <w:rsid w:val="00814304"/>
    <w:tblPr>
      <w:tblCellMar>
        <w:top w:w="0.0" w:type="dxa"/>
        <w:left w:w="0.0" w:type="dxa"/>
        <w:bottom w:w="0.0" w:type="dxa"/>
        <w:right w:w="0.0" w:type="dxa"/>
      </w:tblCellMar>
    </w:tblPr>
  </w:style>
  <w:style w:type="table" w:styleId="TableNormal18" w:customStyle="1">
    <w:name w:val="Table Normal18"/>
    <w:rsid w:val="00BF371E"/>
    <w:tblPr>
      <w:tblCellMar>
        <w:top w:w="0.0" w:type="dxa"/>
        <w:left w:w="0.0" w:type="dxa"/>
        <w:bottom w:w="0.0" w:type="dxa"/>
        <w:right w:w="0.0" w:type="dxa"/>
      </w:tblCellMar>
    </w:tblPr>
  </w:style>
  <w:style w:type="table" w:styleId="TableNormal17" w:customStyle="1">
    <w:name w:val="Table Normal17"/>
    <w:rsid w:val="00BF371E"/>
    <w:tblPr>
      <w:tblCellMar>
        <w:top w:w="0.0" w:type="dxa"/>
        <w:left w:w="0.0" w:type="dxa"/>
        <w:bottom w:w="0.0" w:type="dxa"/>
        <w:right w:w="0.0" w:type="dxa"/>
      </w:tblCellMar>
    </w:tblPr>
  </w:style>
  <w:style w:type="table" w:styleId="TableNormal16" w:customStyle="1">
    <w:name w:val="Table Normal16"/>
    <w:rsid w:val="00BF371E"/>
    <w:tblPr>
      <w:tblCellMar>
        <w:top w:w="0.0" w:type="dxa"/>
        <w:left w:w="0.0" w:type="dxa"/>
        <w:bottom w:w="0.0" w:type="dxa"/>
        <w:right w:w="0.0" w:type="dxa"/>
      </w:tblCellMar>
    </w:tblPr>
  </w:style>
  <w:style w:type="table" w:styleId="TableNormal15" w:customStyle="1">
    <w:name w:val="Table Normal15"/>
    <w:rsid w:val="00BF371E"/>
    <w:tblPr>
      <w:tblCellMar>
        <w:top w:w="0.0" w:type="dxa"/>
        <w:left w:w="0.0" w:type="dxa"/>
        <w:bottom w:w="0.0" w:type="dxa"/>
        <w:right w:w="0.0" w:type="dxa"/>
      </w:tblCellMar>
    </w:tblPr>
  </w:style>
  <w:style w:type="table" w:styleId="TableNormal14" w:customStyle="1">
    <w:name w:val="Table Normal14"/>
    <w:rsid w:val="00BF371E"/>
    <w:tblPr>
      <w:tblCellMar>
        <w:top w:w="0.0" w:type="dxa"/>
        <w:left w:w="0.0" w:type="dxa"/>
        <w:bottom w:w="0.0" w:type="dxa"/>
        <w:right w:w="0.0" w:type="dxa"/>
      </w:tblCellMar>
    </w:tblPr>
  </w:style>
  <w:style w:type="table" w:styleId="TableNormal13" w:customStyle="1">
    <w:name w:val="Table Normal13"/>
    <w:rsid w:val="00BF371E"/>
    <w:tblPr>
      <w:tblCellMar>
        <w:top w:w="0.0" w:type="dxa"/>
        <w:left w:w="0.0" w:type="dxa"/>
        <w:bottom w:w="0.0" w:type="dxa"/>
        <w:right w:w="0.0" w:type="dxa"/>
      </w:tblCellMar>
    </w:tblPr>
  </w:style>
  <w:style w:type="table" w:styleId="TableNormal12" w:customStyle="1">
    <w:name w:val="Table Normal12"/>
    <w:rsid w:val="00BF371E"/>
    <w:tblPr>
      <w:tblCellMar>
        <w:top w:w="0.0" w:type="dxa"/>
        <w:left w:w="0.0" w:type="dxa"/>
        <w:bottom w:w="0.0" w:type="dxa"/>
        <w:right w:w="0.0" w:type="dxa"/>
      </w:tblCellMar>
    </w:tblPr>
  </w:style>
  <w:style w:type="table" w:styleId="TableNormal11" w:customStyle="1">
    <w:name w:val="Table Normal11"/>
    <w:rsid w:val="00BF371E"/>
    <w:tblPr>
      <w:tblCellMar>
        <w:top w:w="0.0" w:type="dxa"/>
        <w:left w:w="0.0" w:type="dxa"/>
        <w:bottom w:w="0.0" w:type="dxa"/>
        <w:right w:w="0.0" w:type="dxa"/>
      </w:tblCellMar>
    </w:tblPr>
  </w:style>
  <w:style w:type="table" w:styleId="TableNormal26" w:customStyle="1">
    <w:name w:val="Table Normal26"/>
    <w:rsid w:val="00EC4A76"/>
    <w:tblPr>
      <w:tblCellMar>
        <w:top w:w="0.0" w:type="dxa"/>
        <w:left w:w="0.0" w:type="dxa"/>
        <w:bottom w:w="0.0" w:type="dxa"/>
        <w:right w:w="0.0" w:type="dxa"/>
      </w:tblCellMar>
    </w:tblPr>
  </w:style>
  <w:style w:type="table" w:styleId="TableNormal25" w:customStyle="1">
    <w:name w:val="Table Normal25"/>
    <w:rsid w:val="00EC4A76"/>
    <w:tblPr>
      <w:tblCellMar>
        <w:top w:w="0.0" w:type="dxa"/>
        <w:left w:w="0.0" w:type="dxa"/>
        <w:bottom w:w="0.0" w:type="dxa"/>
        <w:right w:w="0.0" w:type="dxa"/>
      </w:tblCellMar>
    </w:tblPr>
  </w:style>
  <w:style w:type="table" w:styleId="TableNormal24" w:customStyle="1">
    <w:name w:val="Table Normal24"/>
    <w:rsid w:val="00EC4A76"/>
    <w:tblPr>
      <w:tblCellMar>
        <w:top w:w="0.0" w:type="dxa"/>
        <w:left w:w="0.0" w:type="dxa"/>
        <w:bottom w:w="0.0" w:type="dxa"/>
        <w:right w:w="0.0" w:type="dxa"/>
      </w:tblCellMar>
    </w:tblPr>
  </w:style>
  <w:style w:type="table" w:styleId="TableNormal23" w:customStyle="1">
    <w:name w:val="Table Normal23"/>
    <w:rsid w:val="00EC4A76"/>
    <w:tblPr>
      <w:tblCellMar>
        <w:top w:w="0.0" w:type="dxa"/>
        <w:left w:w="0.0" w:type="dxa"/>
        <w:bottom w:w="0.0" w:type="dxa"/>
        <w:right w:w="0.0" w:type="dxa"/>
      </w:tblCellMar>
    </w:tblPr>
  </w:style>
  <w:style w:type="table" w:styleId="TableNormal22" w:customStyle="1">
    <w:name w:val="Table Normal22"/>
    <w:rsid w:val="00EC4A76"/>
    <w:tblPr>
      <w:tblCellMar>
        <w:top w:w="0.0" w:type="dxa"/>
        <w:left w:w="0.0" w:type="dxa"/>
        <w:bottom w:w="0.0" w:type="dxa"/>
        <w:right w:w="0.0" w:type="dxa"/>
      </w:tblCellMar>
    </w:tblPr>
  </w:style>
  <w:style w:type="table" w:styleId="TableNormal21" w:customStyle="1">
    <w:name w:val="Table Normal21"/>
    <w:rsid w:val="00EC4A76"/>
    <w:tblPr>
      <w:tblCellMar>
        <w:top w:w="0.0" w:type="dxa"/>
        <w:left w:w="0.0" w:type="dxa"/>
        <w:bottom w:w="0.0" w:type="dxa"/>
        <w:right w:w="0.0" w:type="dxa"/>
      </w:tblCellMar>
    </w:tblPr>
  </w:style>
  <w:style w:type="table" w:styleId="TableNormal200" w:customStyle="1">
    <w:name w:val="Table Normal20"/>
    <w:rsid w:val="00EC4A76"/>
    <w:tblPr>
      <w:tblCellMar>
        <w:top w:w="0.0" w:type="dxa"/>
        <w:left w:w="0.0" w:type="dxa"/>
        <w:bottom w:w="0.0" w:type="dxa"/>
        <w:right w:w="0.0" w:type="dxa"/>
      </w:tblCellMar>
    </w:tblPr>
  </w:style>
  <w:style w:type="paragraph" w:styleId="Revision">
    <w:name w:val="Revision"/>
    <w:hidden w:val="1"/>
    <w:uiPriority w:val="99"/>
    <w:semiHidden w:val="1"/>
    <w:rsid w:val="007A228B"/>
  </w:style>
  <w:style w:type="character" w:styleId="CommentReference">
    <w:name w:val="annotation reference"/>
    <w:basedOn w:val="DefaultParagraphFont"/>
    <w:uiPriority w:val="99"/>
    <w:semiHidden w:val="1"/>
    <w:unhideWhenUsed w:val="1"/>
    <w:rsid w:val="005B72FE"/>
    <w:rPr>
      <w:sz w:val="16"/>
      <w:szCs w:val="16"/>
    </w:rPr>
  </w:style>
  <w:style w:type="paragraph" w:styleId="CommentText">
    <w:name w:val="annotation text"/>
    <w:basedOn w:val="Normal"/>
    <w:link w:val="CommentTextChar"/>
    <w:uiPriority w:val="99"/>
    <w:semiHidden w:val="1"/>
    <w:unhideWhenUsed w:val="1"/>
    <w:rsid w:val="005B72FE"/>
    <w:rPr>
      <w:sz w:val="20"/>
      <w:szCs w:val="20"/>
    </w:rPr>
  </w:style>
  <w:style w:type="character" w:styleId="CommentTextChar" w:customStyle="1">
    <w:name w:val="Comment Text Char"/>
    <w:basedOn w:val="DefaultParagraphFont"/>
    <w:link w:val="CommentText"/>
    <w:uiPriority w:val="99"/>
    <w:semiHidden w:val="1"/>
    <w:rsid w:val="005B72FE"/>
    <w:rPr>
      <w:sz w:val="20"/>
      <w:szCs w:val="20"/>
    </w:rPr>
  </w:style>
  <w:style w:type="paragraph" w:styleId="CommentSubject">
    <w:name w:val="annotation subject"/>
    <w:basedOn w:val="CommentText"/>
    <w:next w:val="CommentText"/>
    <w:link w:val="CommentSubjectChar"/>
    <w:uiPriority w:val="99"/>
    <w:semiHidden w:val="1"/>
    <w:unhideWhenUsed w:val="1"/>
    <w:rsid w:val="005B72FE"/>
    <w:rPr>
      <w:b w:val="1"/>
      <w:bCs w:val="1"/>
    </w:rPr>
  </w:style>
  <w:style w:type="character" w:styleId="CommentSubjectChar" w:customStyle="1">
    <w:name w:val="Comment Subject Char"/>
    <w:basedOn w:val="CommentTextChar"/>
    <w:link w:val="CommentSubject"/>
    <w:uiPriority w:val="99"/>
    <w:semiHidden w:val="1"/>
    <w:rsid w:val="005B72FE"/>
    <w:rPr>
      <w:b w:val="1"/>
      <w:bCs w:val="1"/>
      <w:sz w:val="20"/>
      <w:szCs w:val="20"/>
    </w:rPr>
  </w:style>
  <w:style w:type="paragraph" w:styleId="Standard" w:customStyle="1">
    <w:name w:val="Standard"/>
    <w:rsid w:val="00462CB7"/>
    <w:pPr>
      <w:widowControl w:val="0"/>
      <w:suppressAutoHyphens w:val="1"/>
      <w:autoSpaceDN w:val="0"/>
      <w:spacing w:line="276" w:lineRule="auto"/>
    </w:pPr>
    <w:rPr>
      <w:rFonts w:ascii="Arial" w:cs="Arial" w:eastAsia="Arial" w:hAnsi="Arial"/>
      <w:sz w:val="22"/>
      <w:szCs w:val="22"/>
      <w:lang w:bidi="hi-IN"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hyperlink" Target="mailto:ainhoa.murga@diagroup.com" TargetMode="External"/><Relationship Id="rId8" Type="http://schemas.openxmlformats.org/officeDocument/2006/relationships/hyperlink" Target="https://www.dia.es/l/comer-mejor-cada-dia" TargetMode="External"/><Relationship Id="rId18" Type="http://schemas.openxmlformats.org/officeDocument/2006/relationships/customXml" Target="../customXML/item4.xml"/><Relationship Id="rId3" Type="http://schemas.openxmlformats.org/officeDocument/2006/relationships/fontTable" Target="fontTable.xml"/><Relationship Id="rId12"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7" Type="http://schemas.openxmlformats.org/officeDocument/2006/relationships/hyperlink" Target="https://www.dia.es/l/comer-mejor-cada-dia" TargetMode="Externa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hyperlink" Target="http://dia.es" TargetMode="External"/><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https://diacorporate.com/proposito/comer-mejor-cada-dia/" TargetMode="External"/><Relationship Id="rId4" Type="http://schemas.openxmlformats.org/officeDocument/2006/relationships/numbering" Target="numbering.xml"/><Relationship Id="rId9" Type="http://schemas.openxmlformats.org/officeDocument/2006/relationships/hyperlink" Target="https://www.dia.es/l/comer-mejor-cada-di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UJbAzXhewFYmlAEBLL9dNU0evg==">CgMxLjA4AHIhMXpaXzhXMXpJWW5fTFpSdDhucmZJNkZVeEM0eHV6RkpB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43A9386-67B9-43B6-899B-7D235C170F16}"/>
</file>

<file path=customXML/itemProps3.xml><?xml version="1.0" encoding="utf-8"?>
<ds:datastoreItem xmlns:ds="http://schemas.openxmlformats.org/officeDocument/2006/customXml" ds:itemID="{74DFE82E-EAD4-417B-81EC-F4580327BAFF}"/>
</file>

<file path=customXML/itemProps4.xml><?xml version="1.0" encoding="utf-8"?>
<ds:datastoreItem xmlns:ds="http://schemas.openxmlformats.org/officeDocument/2006/customXml" ds:itemID="{F5EEB131-9F75-4D76-B634-2FA7E2D4D30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Patricio Morenés</dc:creator>
  <dcterms:created xsi:type="dcterms:W3CDTF">2025-05-16T06:58:00Z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