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5040" w14:textId="77777777" w:rsidR="003B5B3A" w:rsidRDefault="003B5B3A" w:rsidP="003B5B3A">
      <w:pPr>
        <w:jc w:val="center"/>
        <w:rPr>
          <w:rFonts w:ascii="Century Gothic" w:eastAsia="Century Gothic" w:hAnsi="Century Gothic" w:cs="Century Gothic"/>
          <w:b/>
          <w:color w:val="C55911"/>
          <w:sz w:val="22"/>
          <w:szCs w:val="22"/>
          <w:u w:val="single"/>
        </w:rPr>
      </w:pPr>
    </w:p>
    <w:p w14:paraId="7B53459B" w14:textId="6C3DB078" w:rsidR="0022387E" w:rsidRPr="003A3B95" w:rsidRDefault="00A4147C" w:rsidP="0022387E">
      <w:pPr>
        <w:pBdr>
          <w:top w:val="nil"/>
          <w:left w:val="nil"/>
          <w:bottom w:val="nil"/>
          <w:right w:val="nil"/>
          <w:between w:val="nil"/>
        </w:pBdr>
        <w:spacing w:after="0"/>
        <w:ind w:left="720"/>
        <w:jc w:val="center"/>
        <w:rPr>
          <w:rFonts w:ascii="Century Gothic" w:eastAsia="Century Gothic" w:hAnsi="Century Gothic" w:cs="Century Gothic"/>
          <w:b/>
          <w:color w:val="C55911"/>
          <w:sz w:val="34"/>
          <w:szCs w:val="34"/>
        </w:rPr>
      </w:pPr>
      <w:r w:rsidRPr="00A4147C">
        <w:rPr>
          <w:rFonts w:ascii="Century Gothic" w:eastAsia="Century Gothic" w:hAnsi="Century Gothic" w:cs="Century Gothic"/>
          <w:b/>
          <w:color w:val="C55911"/>
          <w:sz w:val="34"/>
          <w:szCs w:val="34"/>
        </w:rPr>
        <w:t>Reducir el desperdicio fideliza: 6 de cada 10 consumidores elegirían su supermercado en función de sus medidas contra el desperdicio</w:t>
      </w:r>
      <w:r w:rsidR="0022387E" w:rsidRPr="003A3B95">
        <w:rPr>
          <w:rFonts w:ascii="Open Sans" w:eastAsia="Open Sans" w:hAnsi="Open Sans" w:cs="Open Sans"/>
          <w:color w:val="000000"/>
          <w:sz w:val="22"/>
          <w:szCs w:val="22"/>
        </w:rPr>
        <w:br/>
      </w:r>
    </w:p>
    <w:p w14:paraId="547210A5" w14:textId="77777777" w:rsidR="00A4147C" w:rsidRPr="00A4147C" w:rsidRDefault="00A4147C" w:rsidP="00A4147C">
      <w:pPr>
        <w:numPr>
          <w:ilvl w:val="0"/>
          <w:numId w:val="11"/>
        </w:numPr>
        <w:spacing w:after="0"/>
        <w:jc w:val="both"/>
        <w:rPr>
          <w:rFonts w:ascii="Open Sans" w:eastAsia="Open Sans" w:hAnsi="Open Sans" w:cs="Open Sans"/>
          <w:i/>
          <w:iCs/>
          <w:color w:val="000000"/>
          <w:sz w:val="22"/>
          <w:szCs w:val="22"/>
        </w:rPr>
      </w:pPr>
      <w:r w:rsidRPr="00A4147C">
        <w:rPr>
          <w:rFonts w:ascii="Open Sans" w:eastAsia="Open Sans" w:hAnsi="Open Sans" w:cs="Open Sans"/>
          <w:i/>
          <w:iCs/>
          <w:color w:val="000000"/>
          <w:sz w:val="22"/>
          <w:szCs w:val="22"/>
        </w:rPr>
        <w:t>Un 62% de los consumidores reconoce que las iniciativas contra el desperdicio alimentario influyen en su decisión de compra, pero solo un 32% conoce si su supermercado actúa al respecto</w:t>
      </w:r>
    </w:p>
    <w:p w14:paraId="36F57158" w14:textId="2E7C95D5" w:rsidR="00A4147C" w:rsidRPr="00A4147C" w:rsidRDefault="00A4147C" w:rsidP="00A4147C">
      <w:pPr>
        <w:spacing w:after="0"/>
        <w:jc w:val="both"/>
        <w:rPr>
          <w:rFonts w:ascii="Open Sans" w:eastAsia="Open Sans" w:hAnsi="Open Sans" w:cs="Open Sans"/>
          <w:i/>
          <w:iCs/>
          <w:color w:val="000000"/>
          <w:sz w:val="22"/>
          <w:szCs w:val="22"/>
        </w:rPr>
      </w:pPr>
    </w:p>
    <w:p w14:paraId="010A09ED" w14:textId="44BC2044" w:rsidR="00A4147C" w:rsidRPr="00A4147C" w:rsidRDefault="00A4147C" w:rsidP="00A4147C">
      <w:pPr>
        <w:numPr>
          <w:ilvl w:val="0"/>
          <w:numId w:val="12"/>
        </w:numPr>
        <w:spacing w:after="0"/>
        <w:jc w:val="both"/>
        <w:rPr>
          <w:rFonts w:ascii="Open Sans" w:eastAsia="Open Sans" w:hAnsi="Open Sans" w:cs="Open Sans"/>
          <w:i/>
          <w:iCs/>
          <w:color w:val="000000"/>
          <w:sz w:val="22"/>
          <w:szCs w:val="22"/>
        </w:rPr>
      </w:pPr>
      <w:r w:rsidRPr="00A4147C">
        <w:rPr>
          <w:rFonts w:ascii="Open Sans" w:eastAsia="Open Sans" w:hAnsi="Open Sans" w:cs="Open Sans"/>
          <w:i/>
          <w:iCs/>
          <w:color w:val="000000"/>
          <w:sz w:val="22"/>
          <w:szCs w:val="22"/>
        </w:rPr>
        <w:t xml:space="preserve">Phenix propone </w:t>
      </w:r>
      <w:r>
        <w:rPr>
          <w:rFonts w:ascii="Open Sans" w:eastAsia="Open Sans" w:hAnsi="Open Sans" w:cs="Open Sans"/>
          <w:i/>
          <w:iCs/>
          <w:color w:val="000000"/>
          <w:sz w:val="22"/>
          <w:szCs w:val="22"/>
        </w:rPr>
        <w:t>5</w:t>
      </w:r>
      <w:r w:rsidRPr="00A4147C">
        <w:rPr>
          <w:rFonts w:ascii="Open Sans" w:eastAsia="Open Sans" w:hAnsi="Open Sans" w:cs="Open Sans"/>
          <w:i/>
          <w:iCs/>
          <w:color w:val="000000"/>
          <w:sz w:val="22"/>
          <w:szCs w:val="22"/>
        </w:rPr>
        <w:t xml:space="preserve"> claves para mejorar la fidelización apostando por una gestión más visible y efectiva de los excedentes</w:t>
      </w:r>
    </w:p>
    <w:p w14:paraId="1216C392" w14:textId="77777777" w:rsidR="0022387E" w:rsidRDefault="0022387E" w:rsidP="0022387E">
      <w:pPr>
        <w:spacing w:after="0"/>
        <w:jc w:val="both"/>
        <w:rPr>
          <w:rFonts w:ascii="Open Sans" w:eastAsia="Open Sans" w:hAnsi="Open Sans" w:cs="Open Sans"/>
          <w:color w:val="000000"/>
          <w:sz w:val="22"/>
          <w:szCs w:val="22"/>
        </w:rPr>
      </w:pPr>
    </w:p>
    <w:p w14:paraId="6B6B9D6F" w14:textId="77777777" w:rsidR="00BF0A76" w:rsidRPr="00BF0A76" w:rsidRDefault="00BF0A76" w:rsidP="00BF0A76">
      <w:pPr>
        <w:spacing w:after="0"/>
        <w:jc w:val="both"/>
        <w:rPr>
          <w:rFonts w:ascii="Open Sans" w:eastAsia="Open Sans" w:hAnsi="Open Sans" w:cs="Open Sans"/>
          <w:color w:val="000000"/>
          <w:sz w:val="22"/>
          <w:szCs w:val="22"/>
        </w:rPr>
      </w:pPr>
      <w:r w:rsidRPr="00BF0A76">
        <w:rPr>
          <w:rFonts w:ascii="Open Sans" w:eastAsia="Open Sans" w:hAnsi="Open Sans" w:cs="Open Sans"/>
          <w:b/>
          <w:bCs/>
          <w:color w:val="000000"/>
          <w:sz w:val="22"/>
          <w:szCs w:val="22"/>
        </w:rPr>
        <w:t xml:space="preserve">Madrid, 21 de mayo de 2025 – </w:t>
      </w:r>
      <w:r w:rsidRPr="00BF0A76">
        <w:rPr>
          <w:rFonts w:ascii="Open Sans" w:eastAsia="Open Sans" w:hAnsi="Open Sans" w:cs="Open Sans"/>
          <w:color w:val="000000"/>
          <w:sz w:val="22"/>
          <w:szCs w:val="22"/>
        </w:rPr>
        <w:t xml:space="preserve">La lucha contra el desperdicio alimentario se está consolidando como un criterio de fidelización para el consumidor. Así se ha puesto de relieve en el </w:t>
      </w:r>
      <w:r w:rsidRPr="00BF0A76">
        <w:rPr>
          <w:rFonts w:ascii="Open Sans" w:eastAsia="Open Sans" w:hAnsi="Open Sans" w:cs="Open Sans"/>
          <w:b/>
          <w:bCs/>
          <w:color w:val="000000"/>
          <w:sz w:val="22"/>
          <w:szCs w:val="22"/>
        </w:rPr>
        <w:t xml:space="preserve">Barómetro del Desperdicio Alimentario </w:t>
      </w:r>
      <w:r w:rsidRPr="00BF0A76">
        <w:rPr>
          <w:rFonts w:ascii="Open Sans" w:eastAsia="Open Sans" w:hAnsi="Open Sans" w:cs="Open Sans"/>
          <w:color w:val="000000"/>
          <w:sz w:val="22"/>
          <w:szCs w:val="22"/>
        </w:rPr>
        <w:t>elaborado por AECOC en colaboración con</w:t>
      </w:r>
      <w:hyperlink r:id="rId7" w:history="1">
        <w:r w:rsidRPr="00BF0A76">
          <w:rPr>
            <w:rStyle w:val="Hipervnculo"/>
            <w:rFonts w:ascii="Open Sans" w:eastAsia="Open Sans" w:hAnsi="Open Sans" w:cs="Open Sans"/>
            <w:sz w:val="22"/>
            <w:szCs w:val="22"/>
          </w:rPr>
          <w:t xml:space="preserve"> </w:t>
        </w:r>
        <w:r w:rsidRPr="00BF0A76">
          <w:rPr>
            <w:rStyle w:val="Hipervnculo"/>
            <w:rFonts w:ascii="Open Sans" w:eastAsia="Open Sans" w:hAnsi="Open Sans" w:cs="Open Sans"/>
            <w:b/>
            <w:bCs/>
            <w:sz w:val="22"/>
            <w:szCs w:val="22"/>
          </w:rPr>
          <w:t>Phenix</w:t>
        </w:r>
      </w:hyperlink>
      <w:r w:rsidRPr="00BF0A76">
        <w:rPr>
          <w:rFonts w:ascii="Open Sans" w:eastAsia="Open Sans" w:hAnsi="Open Sans" w:cs="Open Sans"/>
          <w:color w:val="000000"/>
          <w:sz w:val="22"/>
          <w:szCs w:val="22"/>
        </w:rPr>
        <w:t>. Según el estudio, un</w:t>
      </w:r>
      <w:r w:rsidRPr="00BF0A76">
        <w:rPr>
          <w:rFonts w:ascii="Open Sans" w:eastAsia="Open Sans" w:hAnsi="Open Sans" w:cs="Open Sans"/>
          <w:b/>
          <w:bCs/>
          <w:color w:val="000000"/>
          <w:sz w:val="22"/>
          <w:szCs w:val="22"/>
        </w:rPr>
        <w:t xml:space="preserve"> 62% de los consumidores asegura que elegiría su supermercado en función de las medidas que adopte frente al desperdicio</w:t>
      </w:r>
      <w:r w:rsidRPr="00BF0A76">
        <w:rPr>
          <w:rFonts w:ascii="Open Sans" w:eastAsia="Open Sans" w:hAnsi="Open Sans" w:cs="Open Sans"/>
          <w:color w:val="000000"/>
          <w:sz w:val="22"/>
          <w:szCs w:val="22"/>
        </w:rPr>
        <w:t xml:space="preserve">, mientras que sólo </w:t>
      </w:r>
      <w:r w:rsidRPr="00BF0A76">
        <w:rPr>
          <w:rFonts w:ascii="Open Sans" w:eastAsia="Open Sans" w:hAnsi="Open Sans" w:cs="Open Sans"/>
          <w:b/>
          <w:bCs/>
          <w:color w:val="000000"/>
          <w:sz w:val="22"/>
          <w:szCs w:val="22"/>
        </w:rPr>
        <w:t>un 32% afirma conocer si su tienda habitual tiene iniciativas en este ámbito</w:t>
      </w:r>
      <w:r w:rsidRPr="00BF0A76">
        <w:rPr>
          <w:rFonts w:ascii="Open Sans" w:eastAsia="Open Sans" w:hAnsi="Open Sans" w:cs="Open Sans"/>
          <w:color w:val="000000"/>
          <w:sz w:val="22"/>
          <w:szCs w:val="22"/>
        </w:rPr>
        <w:t>.</w:t>
      </w:r>
    </w:p>
    <w:p w14:paraId="1A838AB6" w14:textId="77777777" w:rsidR="00BF0A76" w:rsidRPr="00BF0A76" w:rsidRDefault="00BF0A76" w:rsidP="00BF0A76">
      <w:pPr>
        <w:spacing w:after="0"/>
        <w:jc w:val="both"/>
        <w:rPr>
          <w:rFonts w:ascii="Open Sans" w:eastAsia="Open Sans" w:hAnsi="Open Sans" w:cs="Open Sans"/>
          <w:color w:val="000000"/>
          <w:sz w:val="22"/>
          <w:szCs w:val="22"/>
        </w:rPr>
      </w:pPr>
    </w:p>
    <w:p w14:paraId="436D246F" w14:textId="77777777" w:rsidR="00BF0A76" w:rsidRPr="00BF0A76" w:rsidRDefault="00BF0A76" w:rsidP="00BF0A76">
      <w:pPr>
        <w:spacing w:after="0"/>
        <w:jc w:val="both"/>
        <w:rPr>
          <w:rFonts w:ascii="Open Sans" w:eastAsia="Open Sans" w:hAnsi="Open Sans" w:cs="Open Sans"/>
          <w:color w:val="000000"/>
          <w:sz w:val="22"/>
          <w:szCs w:val="22"/>
        </w:rPr>
      </w:pPr>
      <w:r w:rsidRPr="00BF0A76">
        <w:rPr>
          <w:rFonts w:ascii="Open Sans" w:eastAsia="Open Sans" w:hAnsi="Open Sans" w:cs="Open Sans"/>
          <w:color w:val="000000"/>
          <w:sz w:val="22"/>
          <w:szCs w:val="22"/>
        </w:rPr>
        <w:t xml:space="preserve">El estudio también revela que </w:t>
      </w:r>
      <w:r w:rsidRPr="00BF0A76">
        <w:rPr>
          <w:rFonts w:ascii="Open Sans" w:eastAsia="Open Sans" w:hAnsi="Open Sans" w:cs="Open Sans"/>
          <w:b/>
          <w:bCs/>
          <w:color w:val="000000"/>
          <w:sz w:val="22"/>
          <w:szCs w:val="22"/>
        </w:rPr>
        <w:t>un 80% de los encuestados está interesado en conocer qué hacen los supermercados con los productos no vendidos</w:t>
      </w:r>
      <w:r w:rsidRPr="00BF0A76">
        <w:rPr>
          <w:rFonts w:ascii="Open Sans" w:eastAsia="Open Sans" w:hAnsi="Open Sans" w:cs="Open Sans"/>
          <w:color w:val="000000"/>
          <w:sz w:val="22"/>
          <w:szCs w:val="22"/>
        </w:rPr>
        <w:t>, lo que pone de manifiesto una demanda creciente de transparencia y comunicación por parte del consumidor.</w:t>
      </w:r>
    </w:p>
    <w:p w14:paraId="4D1B98A1" w14:textId="77777777" w:rsidR="00BF0A76" w:rsidRPr="00BF0A76" w:rsidRDefault="00BF0A76" w:rsidP="00BF0A76">
      <w:pPr>
        <w:spacing w:after="0"/>
        <w:jc w:val="both"/>
        <w:rPr>
          <w:rFonts w:ascii="Open Sans" w:eastAsia="Open Sans" w:hAnsi="Open Sans" w:cs="Open Sans"/>
          <w:color w:val="000000"/>
          <w:sz w:val="22"/>
          <w:szCs w:val="22"/>
        </w:rPr>
      </w:pPr>
    </w:p>
    <w:p w14:paraId="36BB3E51" w14:textId="2A727100" w:rsidR="00BF0A76" w:rsidRPr="00BF0A76" w:rsidRDefault="00BF0A76" w:rsidP="00BF0A76">
      <w:pPr>
        <w:spacing w:after="0"/>
        <w:jc w:val="both"/>
        <w:rPr>
          <w:rFonts w:ascii="Open Sans" w:eastAsia="Open Sans" w:hAnsi="Open Sans" w:cs="Open Sans"/>
          <w:color w:val="000000"/>
          <w:sz w:val="22"/>
          <w:szCs w:val="22"/>
        </w:rPr>
      </w:pPr>
      <w:r w:rsidRPr="00BF0A76">
        <w:rPr>
          <w:rFonts w:ascii="Open Sans" w:eastAsia="Open Sans" w:hAnsi="Open Sans" w:cs="Open Sans"/>
          <w:color w:val="000000"/>
          <w:sz w:val="22"/>
          <w:szCs w:val="22"/>
        </w:rPr>
        <w:t xml:space="preserve">Para responder a esta tendencia, </w:t>
      </w:r>
      <w:hyperlink r:id="rId8" w:history="1">
        <w:r w:rsidRPr="00BF0A76">
          <w:rPr>
            <w:rStyle w:val="Hipervnculo"/>
            <w:rFonts w:ascii="Open Sans" w:eastAsia="Open Sans" w:hAnsi="Open Sans" w:cs="Open Sans"/>
            <w:b/>
            <w:bCs/>
            <w:sz w:val="22"/>
            <w:szCs w:val="22"/>
          </w:rPr>
          <w:t>Phenix</w:t>
        </w:r>
      </w:hyperlink>
      <w:r w:rsidRPr="00BF0A76">
        <w:rPr>
          <w:rFonts w:ascii="Open Sans" w:eastAsia="Open Sans" w:hAnsi="Open Sans" w:cs="Open Sans"/>
          <w:color w:val="000000"/>
          <w:sz w:val="22"/>
          <w:szCs w:val="22"/>
        </w:rPr>
        <w:t>, empresa especializada en la reducción del desperdicio alimentario,</w:t>
      </w:r>
      <w:r w:rsidRPr="00BF0A76">
        <w:rPr>
          <w:rFonts w:ascii="Open Sans" w:eastAsia="Open Sans" w:hAnsi="Open Sans" w:cs="Open Sans"/>
          <w:b/>
          <w:bCs/>
          <w:color w:val="000000"/>
          <w:sz w:val="22"/>
          <w:szCs w:val="22"/>
        </w:rPr>
        <w:t xml:space="preserve"> propone </w:t>
      </w:r>
      <w:r w:rsidR="00EA1F11">
        <w:rPr>
          <w:rFonts w:ascii="Open Sans" w:eastAsia="Open Sans" w:hAnsi="Open Sans" w:cs="Open Sans"/>
          <w:b/>
          <w:bCs/>
          <w:color w:val="000000"/>
          <w:sz w:val="22"/>
          <w:szCs w:val="22"/>
        </w:rPr>
        <w:t>5</w:t>
      </w:r>
      <w:r w:rsidRPr="00BF0A76">
        <w:rPr>
          <w:rFonts w:ascii="Open Sans" w:eastAsia="Open Sans" w:hAnsi="Open Sans" w:cs="Open Sans"/>
          <w:b/>
          <w:bCs/>
          <w:color w:val="000000"/>
          <w:sz w:val="22"/>
          <w:szCs w:val="22"/>
        </w:rPr>
        <w:t xml:space="preserve"> recomendaciones</w:t>
      </w:r>
      <w:r w:rsidRPr="00BF0A76">
        <w:rPr>
          <w:rFonts w:ascii="Open Sans" w:eastAsia="Open Sans" w:hAnsi="Open Sans" w:cs="Open Sans"/>
          <w:color w:val="000000"/>
          <w:sz w:val="22"/>
          <w:szCs w:val="22"/>
        </w:rPr>
        <w:t xml:space="preserve"> para que los </w:t>
      </w:r>
      <w:r w:rsidRPr="00BF0A76">
        <w:rPr>
          <w:rFonts w:ascii="Open Sans" w:eastAsia="Open Sans" w:hAnsi="Open Sans" w:cs="Open Sans"/>
          <w:b/>
          <w:bCs/>
          <w:color w:val="000000"/>
          <w:sz w:val="22"/>
          <w:szCs w:val="22"/>
        </w:rPr>
        <w:t>supermercados refuercen su vínculo con los consumidores</w:t>
      </w:r>
      <w:r w:rsidRPr="00BF0A76">
        <w:rPr>
          <w:rFonts w:ascii="Open Sans" w:eastAsia="Open Sans" w:hAnsi="Open Sans" w:cs="Open Sans"/>
          <w:color w:val="000000"/>
          <w:sz w:val="22"/>
          <w:szCs w:val="22"/>
        </w:rPr>
        <w:t xml:space="preserve"> a través de una estrategia efectiva frente al desperdicio:</w:t>
      </w:r>
    </w:p>
    <w:p w14:paraId="48527D7F" w14:textId="2BCFDF0D" w:rsidR="00BF0A76" w:rsidRPr="00BF0A76" w:rsidRDefault="00BF0A76" w:rsidP="00BF0A76">
      <w:pPr>
        <w:spacing w:after="0"/>
        <w:jc w:val="both"/>
        <w:rPr>
          <w:rFonts w:ascii="Open Sans" w:eastAsia="Open Sans" w:hAnsi="Open Sans" w:cs="Open Sans"/>
          <w:color w:val="000000"/>
          <w:sz w:val="22"/>
          <w:szCs w:val="22"/>
        </w:rPr>
      </w:pPr>
    </w:p>
    <w:p w14:paraId="2214F7AF" w14:textId="76A77E6C" w:rsidR="00BF0A76" w:rsidRPr="00BF0A76" w:rsidRDefault="00BF0A76" w:rsidP="00BF0A76">
      <w:pPr>
        <w:pStyle w:val="Prrafodelista"/>
        <w:numPr>
          <w:ilvl w:val="0"/>
          <w:numId w:val="19"/>
        </w:numPr>
        <w:spacing w:after="0"/>
        <w:jc w:val="both"/>
        <w:rPr>
          <w:rFonts w:ascii="Open Sans" w:eastAsia="Open Sans" w:hAnsi="Open Sans" w:cs="Open Sans"/>
          <w:color w:val="000000"/>
          <w:sz w:val="22"/>
          <w:szCs w:val="22"/>
        </w:rPr>
      </w:pPr>
      <w:r w:rsidRPr="00BF0A76">
        <w:rPr>
          <w:rFonts w:ascii="Open Sans" w:eastAsia="Open Sans" w:hAnsi="Open Sans" w:cs="Open Sans"/>
          <w:b/>
          <w:bCs/>
          <w:color w:val="000000"/>
          <w:sz w:val="22"/>
          <w:szCs w:val="22"/>
        </w:rPr>
        <w:t>Aplicar descuentos en productos próximos a caducar</w:t>
      </w:r>
      <w:r w:rsidRPr="00BF0A76">
        <w:rPr>
          <w:rFonts w:ascii="Open Sans" w:eastAsia="Open Sans" w:hAnsi="Open Sans" w:cs="Open Sans"/>
          <w:color w:val="000000"/>
          <w:sz w:val="22"/>
          <w:szCs w:val="22"/>
        </w:rPr>
        <w:t xml:space="preserve">, medida valorada por </w:t>
      </w:r>
      <w:r w:rsidRPr="00BF0A76">
        <w:rPr>
          <w:rFonts w:ascii="Open Sans" w:eastAsia="Open Sans" w:hAnsi="Open Sans" w:cs="Open Sans"/>
          <w:b/>
          <w:bCs/>
          <w:color w:val="000000"/>
          <w:sz w:val="22"/>
          <w:szCs w:val="22"/>
        </w:rPr>
        <w:t>el 69% de los consumidores</w:t>
      </w:r>
      <w:r w:rsidRPr="00BF0A76">
        <w:rPr>
          <w:rFonts w:ascii="Open Sans" w:eastAsia="Open Sans" w:hAnsi="Open Sans" w:cs="Open Sans"/>
          <w:color w:val="000000"/>
          <w:sz w:val="22"/>
          <w:szCs w:val="22"/>
        </w:rPr>
        <w:t>, que permite evitar el desperdicio y generar ahorro inmediato.</w:t>
      </w:r>
    </w:p>
    <w:p w14:paraId="196ECC51" w14:textId="77777777" w:rsidR="00BF0A76" w:rsidRPr="00BF0A76" w:rsidRDefault="00BF0A76" w:rsidP="00BF0A76">
      <w:pPr>
        <w:pStyle w:val="Prrafodelista"/>
        <w:numPr>
          <w:ilvl w:val="0"/>
          <w:numId w:val="19"/>
        </w:numPr>
        <w:spacing w:after="0"/>
        <w:jc w:val="both"/>
        <w:rPr>
          <w:rFonts w:ascii="Open Sans" w:eastAsia="Open Sans" w:hAnsi="Open Sans" w:cs="Open Sans"/>
          <w:color w:val="000000"/>
          <w:sz w:val="22"/>
          <w:szCs w:val="22"/>
        </w:rPr>
      </w:pPr>
      <w:r w:rsidRPr="00BF0A76">
        <w:rPr>
          <w:rFonts w:ascii="Open Sans" w:eastAsia="Open Sans" w:hAnsi="Open Sans" w:cs="Open Sans"/>
          <w:b/>
          <w:bCs/>
          <w:color w:val="000000"/>
          <w:sz w:val="22"/>
          <w:szCs w:val="22"/>
        </w:rPr>
        <w:t>Ofrecer formatos de compra flexibles</w:t>
      </w:r>
      <w:r w:rsidRPr="00BF0A76">
        <w:rPr>
          <w:rFonts w:ascii="Open Sans" w:eastAsia="Open Sans" w:hAnsi="Open Sans" w:cs="Open Sans"/>
          <w:color w:val="000000"/>
          <w:sz w:val="22"/>
          <w:szCs w:val="22"/>
        </w:rPr>
        <w:t>, como la venta a granel o el envasado al vacío, que ayudan a ajustar las cantidades compradas a las necesidades reales de cada hogar.</w:t>
      </w:r>
    </w:p>
    <w:p w14:paraId="4AA10DCD" w14:textId="77777777" w:rsidR="00BF0A76" w:rsidRPr="00BF0A76" w:rsidRDefault="00BF0A76" w:rsidP="00BF0A76">
      <w:pPr>
        <w:pStyle w:val="Prrafodelista"/>
        <w:spacing w:after="0"/>
        <w:ind w:left="1080"/>
        <w:jc w:val="both"/>
        <w:rPr>
          <w:rFonts w:ascii="Open Sans" w:eastAsia="Open Sans" w:hAnsi="Open Sans" w:cs="Open Sans"/>
          <w:color w:val="000000"/>
          <w:sz w:val="22"/>
          <w:szCs w:val="22"/>
        </w:rPr>
      </w:pPr>
      <w:r w:rsidRPr="00BF0A76">
        <w:rPr>
          <w:rFonts w:ascii="Open Sans" w:eastAsia="Open Sans" w:hAnsi="Open Sans" w:cs="Open Sans"/>
          <w:color w:val="000000"/>
          <w:sz w:val="22"/>
          <w:szCs w:val="22"/>
        </w:rPr>
        <w:lastRenderedPageBreak/>
        <w:br/>
      </w:r>
    </w:p>
    <w:p w14:paraId="239F4DFF" w14:textId="550C7FB6" w:rsidR="00BF0A76" w:rsidRPr="00BF0A76" w:rsidRDefault="00BF0A76" w:rsidP="00BF0A76">
      <w:pPr>
        <w:pStyle w:val="Prrafodelista"/>
        <w:numPr>
          <w:ilvl w:val="0"/>
          <w:numId w:val="19"/>
        </w:numPr>
        <w:spacing w:after="0"/>
        <w:jc w:val="both"/>
        <w:rPr>
          <w:rFonts w:ascii="Open Sans" w:eastAsia="Open Sans" w:hAnsi="Open Sans" w:cs="Open Sans"/>
          <w:color w:val="000000"/>
          <w:sz w:val="22"/>
          <w:szCs w:val="22"/>
        </w:rPr>
      </w:pPr>
      <w:r w:rsidRPr="00BF0A76">
        <w:rPr>
          <w:rFonts w:ascii="Open Sans" w:eastAsia="Open Sans" w:hAnsi="Open Sans" w:cs="Open Sans"/>
          <w:b/>
          <w:bCs/>
          <w:color w:val="000000"/>
          <w:sz w:val="22"/>
          <w:szCs w:val="22"/>
        </w:rPr>
        <w:t>Visibilizar las acciones en el punto de venta y canales digitales</w:t>
      </w:r>
      <w:r w:rsidRPr="00BF0A76">
        <w:rPr>
          <w:rFonts w:ascii="Open Sans" w:eastAsia="Open Sans" w:hAnsi="Open Sans" w:cs="Open Sans"/>
          <w:color w:val="000000"/>
          <w:sz w:val="22"/>
          <w:szCs w:val="22"/>
        </w:rPr>
        <w:t>, aumentando la transparencia y el reconocimiento por parte del consumidor.</w:t>
      </w:r>
    </w:p>
    <w:p w14:paraId="136393C3" w14:textId="2BBC09C4" w:rsidR="00BF0A76" w:rsidRPr="00BF0A76" w:rsidRDefault="00BF0A76" w:rsidP="00BF0A76">
      <w:pPr>
        <w:pStyle w:val="Prrafodelista"/>
        <w:numPr>
          <w:ilvl w:val="0"/>
          <w:numId w:val="19"/>
        </w:numPr>
        <w:spacing w:after="0"/>
        <w:jc w:val="both"/>
        <w:rPr>
          <w:rFonts w:ascii="Open Sans" w:eastAsia="Open Sans" w:hAnsi="Open Sans" w:cs="Open Sans"/>
          <w:color w:val="000000"/>
          <w:sz w:val="22"/>
          <w:szCs w:val="22"/>
        </w:rPr>
      </w:pPr>
      <w:r w:rsidRPr="00BF0A76">
        <w:rPr>
          <w:rFonts w:ascii="Open Sans" w:eastAsia="Open Sans" w:hAnsi="Open Sans" w:cs="Open Sans"/>
          <w:b/>
          <w:bCs/>
          <w:color w:val="000000"/>
          <w:sz w:val="22"/>
          <w:szCs w:val="22"/>
        </w:rPr>
        <w:t>Impulsar la formación del personal de tienda</w:t>
      </w:r>
      <w:r w:rsidRPr="00BF0A76">
        <w:rPr>
          <w:rFonts w:ascii="Open Sans" w:eastAsia="Open Sans" w:hAnsi="Open Sans" w:cs="Open Sans"/>
          <w:color w:val="000000"/>
          <w:sz w:val="22"/>
          <w:szCs w:val="22"/>
        </w:rPr>
        <w:t xml:space="preserve">, involucrando a los equipos en la identificación de productos en riesgo, la gestión de excedentes y la correcta aplicación de las medidas. </w:t>
      </w:r>
    </w:p>
    <w:p w14:paraId="6E284C45" w14:textId="77777777" w:rsidR="00BF0A76" w:rsidRPr="00BF0A76" w:rsidRDefault="00BF0A76" w:rsidP="00BF0A76">
      <w:pPr>
        <w:pStyle w:val="Prrafodelista"/>
        <w:numPr>
          <w:ilvl w:val="0"/>
          <w:numId w:val="19"/>
        </w:numPr>
        <w:spacing w:after="0"/>
        <w:jc w:val="both"/>
        <w:rPr>
          <w:rFonts w:ascii="Open Sans" w:eastAsia="Open Sans" w:hAnsi="Open Sans" w:cs="Open Sans"/>
          <w:color w:val="000000"/>
          <w:sz w:val="22"/>
          <w:szCs w:val="22"/>
        </w:rPr>
      </w:pPr>
      <w:r w:rsidRPr="00BF0A76">
        <w:rPr>
          <w:rFonts w:ascii="Open Sans" w:eastAsia="Open Sans" w:hAnsi="Open Sans" w:cs="Open Sans"/>
          <w:b/>
          <w:bCs/>
          <w:color w:val="000000"/>
          <w:sz w:val="22"/>
          <w:szCs w:val="22"/>
        </w:rPr>
        <w:t>Medir y comunicar los resultados de forma clara</w:t>
      </w:r>
      <w:r w:rsidRPr="00BF0A76">
        <w:rPr>
          <w:rFonts w:ascii="Open Sans" w:eastAsia="Open Sans" w:hAnsi="Open Sans" w:cs="Open Sans"/>
          <w:color w:val="000000"/>
          <w:sz w:val="22"/>
          <w:szCs w:val="22"/>
        </w:rPr>
        <w:t xml:space="preserve">, como los kilos de alimentos salvados o el impacto medioambiental evitado. Esta transparencia responde a la </w:t>
      </w:r>
      <w:r w:rsidRPr="00271DE4">
        <w:rPr>
          <w:rFonts w:ascii="Open Sans" w:eastAsia="Open Sans" w:hAnsi="Open Sans" w:cs="Open Sans"/>
          <w:b/>
          <w:bCs/>
          <w:color w:val="000000"/>
          <w:sz w:val="22"/>
          <w:szCs w:val="22"/>
        </w:rPr>
        <w:t>de</w:t>
      </w:r>
      <w:r w:rsidRPr="00BF0A76">
        <w:rPr>
          <w:rFonts w:ascii="Open Sans" w:eastAsia="Open Sans" w:hAnsi="Open Sans" w:cs="Open Sans"/>
          <w:b/>
          <w:bCs/>
          <w:color w:val="000000"/>
          <w:sz w:val="22"/>
          <w:szCs w:val="22"/>
        </w:rPr>
        <w:t>manda del 80% de los consumidores</w:t>
      </w:r>
      <w:r w:rsidRPr="00BF0A76">
        <w:rPr>
          <w:rFonts w:ascii="Open Sans" w:eastAsia="Open Sans" w:hAnsi="Open Sans" w:cs="Open Sans"/>
          <w:color w:val="000000"/>
          <w:sz w:val="22"/>
          <w:szCs w:val="22"/>
        </w:rPr>
        <w:t xml:space="preserve"> que quieren saber qué hacen los supermercados con los productos no vendidos.</w:t>
      </w:r>
    </w:p>
    <w:p w14:paraId="1B02E842" w14:textId="77777777" w:rsidR="00BF0A76" w:rsidRPr="00BF0A76" w:rsidRDefault="00BF0A76" w:rsidP="00BF0A76">
      <w:pPr>
        <w:spacing w:after="0"/>
        <w:jc w:val="both"/>
        <w:rPr>
          <w:rFonts w:ascii="Open Sans" w:eastAsia="Open Sans" w:hAnsi="Open Sans" w:cs="Open Sans"/>
          <w:color w:val="000000"/>
          <w:sz w:val="22"/>
          <w:szCs w:val="22"/>
        </w:rPr>
      </w:pPr>
    </w:p>
    <w:p w14:paraId="308184CE" w14:textId="187165C7" w:rsidR="00BF0A76" w:rsidRPr="00BF0A76" w:rsidRDefault="00BF0A76" w:rsidP="00BF0A76">
      <w:pPr>
        <w:spacing w:after="0"/>
        <w:jc w:val="both"/>
        <w:rPr>
          <w:rFonts w:ascii="Open Sans" w:eastAsia="Open Sans" w:hAnsi="Open Sans" w:cs="Open Sans"/>
          <w:color w:val="000000"/>
          <w:sz w:val="22"/>
          <w:szCs w:val="22"/>
        </w:rPr>
      </w:pPr>
      <w:r w:rsidRPr="00BF0A76">
        <w:rPr>
          <w:rFonts w:ascii="Open Sans" w:eastAsia="Open Sans" w:hAnsi="Open Sans" w:cs="Open Sans"/>
          <w:i/>
          <w:iCs/>
          <w:color w:val="000000"/>
          <w:sz w:val="22"/>
          <w:szCs w:val="22"/>
        </w:rPr>
        <w:t xml:space="preserve">“Los datos hablan por sí solos y representan una oportunidad evidente para los supermercados. Hoy, comunicar de forma transparente las acciones contra el desperdicio ya no es solo una cuestión de responsabilidad, sino una vía directa para conectar con los valores del consumidor”, </w:t>
      </w:r>
      <w:r w:rsidRPr="00BF0A76">
        <w:rPr>
          <w:rFonts w:ascii="Open Sans" w:eastAsia="Open Sans" w:hAnsi="Open Sans" w:cs="Open Sans"/>
          <w:color w:val="000000"/>
          <w:sz w:val="22"/>
          <w:szCs w:val="22"/>
        </w:rPr>
        <w:t xml:space="preserve">afirma </w:t>
      </w:r>
      <w:r w:rsidRPr="00BF0A76">
        <w:rPr>
          <w:rFonts w:ascii="Open Sans" w:eastAsia="Open Sans" w:hAnsi="Open Sans" w:cs="Open Sans"/>
          <w:b/>
          <w:bCs/>
          <w:color w:val="000000"/>
          <w:sz w:val="22"/>
          <w:szCs w:val="22"/>
        </w:rPr>
        <w:t>María Muriano, directora de Marketing y Comunicación de Phenix España.</w:t>
      </w:r>
    </w:p>
    <w:p w14:paraId="62B21DD3" w14:textId="3D383622" w:rsidR="003F51B6" w:rsidRDefault="00271DE4" w:rsidP="003F51B6">
      <w:pPr>
        <w:jc w:val="center"/>
        <w:rPr>
          <w:rFonts w:ascii="Open Sans" w:eastAsia="Open Sans" w:hAnsi="Open Sans" w:cs="Open Sans"/>
          <w:color w:val="000000"/>
          <w:sz w:val="22"/>
          <w:szCs w:val="22"/>
        </w:rPr>
      </w:pPr>
      <w:r>
        <w:rPr>
          <w:rFonts w:ascii="Open Sans" w:hAnsi="Open Sans" w:cs="Open Sans"/>
          <w:sz w:val="22"/>
          <w:szCs w:val="22"/>
        </w:rPr>
        <w:pict w14:anchorId="5E994DD3">
          <v:rect id="_x0000_i1025" style="width:0;height:1.5pt" o:hralign="center" o:hrstd="t" o:hr="t" fillcolor="#a0a0a0" stroked="f"/>
        </w:pict>
      </w:r>
    </w:p>
    <w:p w14:paraId="1C15D044" w14:textId="3913C7B7" w:rsidR="0022387E" w:rsidRDefault="003F51B6" w:rsidP="00110349">
      <w:pPr>
        <w:jc w:val="center"/>
        <w:rPr>
          <w:rFonts w:ascii="Open Sans" w:eastAsia="Open Sans" w:hAnsi="Open Sans" w:cs="Open Sans"/>
          <w:sz w:val="22"/>
          <w:szCs w:val="22"/>
        </w:rPr>
      </w:pPr>
      <w:r>
        <w:rPr>
          <w:rFonts w:ascii="Open Sans" w:eastAsia="Open Sans" w:hAnsi="Open Sans" w:cs="Open Sans"/>
          <w:sz w:val="22"/>
          <w:szCs w:val="22"/>
        </w:rPr>
        <w:t>***</w:t>
      </w:r>
    </w:p>
    <w:p w14:paraId="3847232F" w14:textId="77777777" w:rsidR="003F51B6" w:rsidRDefault="003F51B6" w:rsidP="003F51B6">
      <w:pPr>
        <w:rPr>
          <w:rFonts w:ascii="Open Sans" w:eastAsia="Open Sans" w:hAnsi="Open Sans" w:cs="Open Sans"/>
          <w:sz w:val="22"/>
          <w:szCs w:val="22"/>
        </w:rPr>
      </w:pPr>
      <w:r>
        <w:rPr>
          <w:rFonts w:ascii="Calibri" w:eastAsia="Calibri" w:hAnsi="Calibri" w:cs="Calibri"/>
          <w:b/>
          <w:sz w:val="18"/>
          <w:szCs w:val="18"/>
        </w:rPr>
        <w:t>Sobre Phenix</w:t>
      </w:r>
    </w:p>
    <w:p w14:paraId="1C1D848A" w14:textId="77777777" w:rsidR="003F51B6" w:rsidRDefault="003F51B6" w:rsidP="003F51B6">
      <w:pPr>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Phenix es una empresa especializada en maximizar el valor del excedente en el sector </w:t>
      </w:r>
      <w:sdt>
        <w:sdtPr>
          <w:tag w:val="goog_rdk_0"/>
          <w:id w:val="-1394961829"/>
          <w:showingPlcHdr/>
        </w:sdtPr>
        <w:sdtEndPr/>
        <w:sdtContent>
          <w:r>
            <w:t xml:space="preserve">     </w:t>
          </w:r>
        </w:sdtContent>
      </w:sdt>
      <w:r>
        <w:rPr>
          <w:rFonts w:ascii="Century Gothic" w:eastAsia="Century Gothic" w:hAnsi="Century Gothic" w:cs="Century Gothic"/>
          <w:i/>
          <w:sz w:val="16"/>
          <w:szCs w:val="16"/>
        </w:rPr>
        <w:t xml:space="preserve">alimentario en España. A través de una gestión eficiente, ayuda a las empresas a convertir el excedente en una fuente de rentabilidad, mientras reduce significativamente el desperdicio alimentario y fomenta un impacto positivo en la sociedad y el medio ambiente. Nació en el 2014, en Francia, con una misión muy clara: reducir el desperdicio alimentario, un problema con un grave impacto económico, social y medioambiental a nivel mundial. Actualmente, es líder en el mercado francés y está en plena consolidación en España y Portugal. La empresa cuenta con más de 200 empleados en total. Phenix está certificada como B </w:t>
      </w:r>
      <w:proofErr w:type="spellStart"/>
      <w:r>
        <w:rPr>
          <w:rFonts w:ascii="Century Gothic" w:eastAsia="Century Gothic" w:hAnsi="Century Gothic" w:cs="Century Gothic"/>
          <w:i/>
          <w:sz w:val="16"/>
          <w:szCs w:val="16"/>
        </w:rPr>
        <w:t>Corporation</w:t>
      </w:r>
      <w:proofErr w:type="spellEnd"/>
      <w:r>
        <w:rPr>
          <w:rFonts w:ascii="Century Gothic" w:eastAsia="Century Gothic" w:hAnsi="Century Gothic" w:cs="Century Gothic"/>
          <w:i/>
          <w:sz w:val="16"/>
          <w:szCs w:val="16"/>
        </w:rPr>
        <w:t>, mostrando su compromiso con la sociedad y el medioambiente.</w:t>
      </w:r>
    </w:p>
    <w:p w14:paraId="33725A08" w14:textId="77777777" w:rsidR="003F51B6" w:rsidRDefault="003F51B6" w:rsidP="003F51B6">
      <w:pPr>
        <w:spacing w:after="0" w:line="240" w:lineRule="auto"/>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Para más información: https://www.wearephenix.com/es/</w:t>
      </w:r>
    </w:p>
    <w:p w14:paraId="44F4ABB7" w14:textId="77777777" w:rsidR="003F51B6" w:rsidRDefault="003F51B6" w:rsidP="003F51B6">
      <w:pPr>
        <w:rPr>
          <w:rFonts w:ascii="Open Sans" w:eastAsia="Open Sans" w:hAnsi="Open Sans" w:cs="Open Sans"/>
          <w:sz w:val="22"/>
          <w:szCs w:val="22"/>
        </w:rPr>
      </w:pPr>
    </w:p>
    <w:p w14:paraId="796C57E7" w14:textId="77777777" w:rsidR="003F51B6" w:rsidRDefault="003F51B6" w:rsidP="003F51B6">
      <w:pPr>
        <w:spacing w:after="0" w:line="240" w:lineRule="auto"/>
        <w:jc w:val="right"/>
        <w:rPr>
          <w:rFonts w:ascii="Calibri" w:eastAsia="Calibri" w:hAnsi="Calibri" w:cs="Calibri"/>
          <w:b/>
          <w:sz w:val="20"/>
          <w:szCs w:val="20"/>
        </w:rPr>
      </w:pPr>
      <w:r>
        <w:rPr>
          <w:rFonts w:ascii="Calibri" w:eastAsia="Calibri" w:hAnsi="Calibri" w:cs="Calibri"/>
          <w:b/>
          <w:sz w:val="20"/>
          <w:szCs w:val="20"/>
        </w:rPr>
        <w:t>Contacto para la prensa:</w:t>
      </w:r>
    </w:p>
    <w:p w14:paraId="4C75439C" w14:textId="77777777" w:rsidR="003F51B6" w:rsidRDefault="003F51B6" w:rsidP="003F51B6">
      <w:pPr>
        <w:jc w:val="center"/>
        <w:rPr>
          <w:rFonts w:ascii="Open Sans" w:eastAsia="Open Sans" w:hAnsi="Open Sans" w:cs="Open Sans"/>
          <w:sz w:val="22"/>
          <w:szCs w:val="22"/>
        </w:rPr>
      </w:pPr>
    </w:p>
    <w:p w14:paraId="49AF99E7" w14:textId="77777777" w:rsidR="003F51B6" w:rsidRDefault="003F51B6" w:rsidP="003F51B6">
      <w:pPr>
        <w:spacing w:after="0" w:line="240" w:lineRule="auto"/>
        <w:jc w:val="right"/>
        <w:rPr>
          <w:rFonts w:ascii="Calibri" w:eastAsia="Calibri" w:hAnsi="Calibri" w:cs="Calibri"/>
          <w:b/>
          <w:sz w:val="20"/>
          <w:szCs w:val="20"/>
        </w:rPr>
      </w:pPr>
      <w:r>
        <w:rPr>
          <w:rFonts w:ascii="Calibri" w:eastAsia="Calibri" w:hAnsi="Calibri" w:cs="Calibri"/>
          <w:b/>
          <w:sz w:val="20"/>
          <w:szCs w:val="20"/>
        </w:rPr>
        <w:t xml:space="preserve">Marina Gascón Martínez de Quel </w:t>
      </w:r>
    </w:p>
    <w:p w14:paraId="70B011C6" w14:textId="77777777" w:rsidR="003F51B6" w:rsidRDefault="003F51B6" w:rsidP="003F51B6">
      <w:pPr>
        <w:spacing w:after="0" w:line="240" w:lineRule="auto"/>
        <w:jc w:val="right"/>
        <w:rPr>
          <w:rFonts w:ascii="Calibri" w:eastAsia="Calibri" w:hAnsi="Calibri" w:cs="Calibri"/>
          <w:sz w:val="20"/>
          <w:szCs w:val="20"/>
        </w:rPr>
      </w:pPr>
      <w:r>
        <w:rPr>
          <w:rFonts w:ascii="Calibri" w:eastAsia="Calibri" w:hAnsi="Calibri" w:cs="Calibri"/>
          <w:sz w:val="20"/>
          <w:szCs w:val="20"/>
        </w:rPr>
        <w:t xml:space="preserve">marina.gascon@newlink-group.com </w:t>
      </w:r>
    </w:p>
    <w:p w14:paraId="2DA6D77C" w14:textId="77777777" w:rsidR="003F51B6" w:rsidRDefault="003F51B6" w:rsidP="003F51B6">
      <w:pPr>
        <w:spacing w:after="0" w:line="240" w:lineRule="auto"/>
        <w:jc w:val="right"/>
        <w:rPr>
          <w:rFonts w:ascii="Calibri" w:eastAsia="Calibri" w:hAnsi="Calibri" w:cs="Calibri"/>
          <w:sz w:val="20"/>
          <w:szCs w:val="20"/>
        </w:rPr>
      </w:pPr>
      <w:r>
        <w:rPr>
          <w:rFonts w:ascii="Calibri" w:eastAsia="Calibri" w:hAnsi="Calibri" w:cs="Calibri"/>
          <w:sz w:val="20"/>
          <w:szCs w:val="20"/>
        </w:rPr>
        <w:t xml:space="preserve">+ 34 651 963 459 </w:t>
      </w:r>
    </w:p>
    <w:p w14:paraId="74A581F1" w14:textId="77777777" w:rsidR="003F51B6" w:rsidRDefault="003F51B6" w:rsidP="003F51B6">
      <w:pPr>
        <w:spacing w:after="0" w:line="240" w:lineRule="auto"/>
        <w:jc w:val="right"/>
        <w:rPr>
          <w:rFonts w:ascii="Calibri" w:eastAsia="Calibri" w:hAnsi="Calibri" w:cs="Calibri"/>
          <w:b/>
          <w:sz w:val="20"/>
          <w:szCs w:val="20"/>
        </w:rPr>
      </w:pPr>
    </w:p>
    <w:p w14:paraId="0C76E8D9" w14:textId="77777777" w:rsidR="003F51B6" w:rsidRDefault="003F51B6" w:rsidP="003F51B6">
      <w:pPr>
        <w:spacing w:after="0" w:line="240" w:lineRule="auto"/>
        <w:jc w:val="right"/>
        <w:rPr>
          <w:rFonts w:ascii="Calibri" w:eastAsia="Calibri" w:hAnsi="Calibri" w:cs="Calibri"/>
          <w:b/>
          <w:sz w:val="20"/>
          <w:szCs w:val="20"/>
        </w:rPr>
      </w:pPr>
      <w:r>
        <w:rPr>
          <w:rFonts w:ascii="Calibri" w:eastAsia="Calibri" w:hAnsi="Calibri" w:cs="Calibri"/>
          <w:b/>
          <w:sz w:val="20"/>
          <w:szCs w:val="20"/>
        </w:rPr>
        <w:t>María Sánchez-Girón</w:t>
      </w:r>
    </w:p>
    <w:p w14:paraId="48CF8EB2" w14:textId="77777777" w:rsidR="003F51B6" w:rsidRDefault="003F51B6" w:rsidP="003F51B6">
      <w:pPr>
        <w:spacing w:after="0" w:line="240" w:lineRule="auto"/>
        <w:jc w:val="right"/>
        <w:rPr>
          <w:rFonts w:ascii="Calibri" w:eastAsia="Calibri" w:hAnsi="Calibri" w:cs="Calibri"/>
          <w:sz w:val="20"/>
          <w:szCs w:val="20"/>
        </w:rPr>
      </w:pPr>
      <w:r>
        <w:rPr>
          <w:rFonts w:ascii="Calibri" w:eastAsia="Calibri" w:hAnsi="Calibri" w:cs="Calibri"/>
          <w:sz w:val="20"/>
          <w:szCs w:val="20"/>
        </w:rPr>
        <w:t>maria.sanchez-giron@newlink-group.com</w:t>
      </w:r>
    </w:p>
    <w:p w14:paraId="277F6D85" w14:textId="05412026" w:rsidR="003F51B6" w:rsidRDefault="003F51B6" w:rsidP="003F51B6">
      <w:pPr>
        <w:spacing w:after="0" w:line="240" w:lineRule="auto"/>
        <w:jc w:val="right"/>
      </w:pPr>
      <w:r>
        <w:rPr>
          <w:rFonts w:ascii="Calibri" w:eastAsia="Calibri" w:hAnsi="Calibri" w:cs="Calibri"/>
          <w:sz w:val="20"/>
          <w:szCs w:val="20"/>
        </w:rPr>
        <w:t>+34 653 125 545</w:t>
      </w:r>
    </w:p>
    <w:sectPr w:rsidR="003F51B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91A4" w14:textId="77777777" w:rsidR="00A00680" w:rsidRDefault="00A00680" w:rsidP="002F1980">
      <w:pPr>
        <w:spacing w:after="0" w:line="240" w:lineRule="auto"/>
      </w:pPr>
      <w:r>
        <w:separator/>
      </w:r>
    </w:p>
  </w:endnote>
  <w:endnote w:type="continuationSeparator" w:id="0">
    <w:p w14:paraId="39080920" w14:textId="77777777" w:rsidR="00A00680" w:rsidRDefault="00A00680" w:rsidP="002F1980">
      <w:pPr>
        <w:spacing w:after="0" w:line="240" w:lineRule="auto"/>
      </w:pPr>
      <w:r>
        <w:continuationSeparator/>
      </w:r>
    </w:p>
  </w:endnote>
  <w:endnote w:type="continuationNotice" w:id="1">
    <w:p w14:paraId="7A6A1AE0" w14:textId="77777777" w:rsidR="00A00680" w:rsidRDefault="00A00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731D" w14:textId="77777777" w:rsidR="00A00680" w:rsidRDefault="00A00680" w:rsidP="002F1980">
      <w:pPr>
        <w:spacing w:after="0" w:line="240" w:lineRule="auto"/>
      </w:pPr>
      <w:r>
        <w:separator/>
      </w:r>
    </w:p>
  </w:footnote>
  <w:footnote w:type="continuationSeparator" w:id="0">
    <w:p w14:paraId="315493A7" w14:textId="77777777" w:rsidR="00A00680" w:rsidRDefault="00A00680" w:rsidP="002F1980">
      <w:pPr>
        <w:spacing w:after="0" w:line="240" w:lineRule="auto"/>
      </w:pPr>
      <w:r>
        <w:continuationSeparator/>
      </w:r>
    </w:p>
  </w:footnote>
  <w:footnote w:type="continuationNotice" w:id="1">
    <w:p w14:paraId="6D6D964A" w14:textId="77777777" w:rsidR="00A00680" w:rsidRDefault="00A006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2F6A" w14:textId="0F4EA44F" w:rsidR="002F1980" w:rsidRDefault="002F1980" w:rsidP="002F1980">
    <w:pPr>
      <w:pStyle w:val="Encabezado"/>
      <w:jc w:val="center"/>
    </w:pPr>
    <w:r>
      <w:rPr>
        <w:rFonts w:ascii="Calibri" w:eastAsia="Calibri" w:hAnsi="Calibri" w:cs="Calibri"/>
        <w:noProof/>
        <w:color w:val="000000"/>
        <w:sz w:val="22"/>
        <w:szCs w:val="22"/>
      </w:rPr>
      <w:drawing>
        <wp:inline distT="0" distB="0" distL="0" distR="0" wp14:anchorId="57021435" wp14:editId="05CE2739">
          <wp:extent cx="1578610" cy="621030"/>
          <wp:effectExtent l="0" t="0" r="0" b="0"/>
          <wp:docPr id="1496951767" name="image1.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 nombre de la empresa&#10;&#10;Descripción generada automáticamente"/>
                  <pic:cNvPicPr preferRelativeResize="0"/>
                </pic:nvPicPr>
                <pic:blipFill>
                  <a:blip r:embed="rId1"/>
                  <a:srcRect/>
                  <a:stretch>
                    <a:fillRect/>
                  </a:stretch>
                </pic:blipFill>
                <pic:spPr>
                  <a:xfrm>
                    <a:off x="0" y="0"/>
                    <a:ext cx="1578610" cy="6210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162"/>
    <w:multiLevelType w:val="multilevel"/>
    <w:tmpl w:val="14DA6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116E25"/>
    <w:multiLevelType w:val="multilevel"/>
    <w:tmpl w:val="A5FC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92C5E"/>
    <w:multiLevelType w:val="multilevel"/>
    <w:tmpl w:val="9CCC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20AF2"/>
    <w:multiLevelType w:val="hybridMultilevel"/>
    <w:tmpl w:val="369C8CA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81730E8"/>
    <w:multiLevelType w:val="multilevel"/>
    <w:tmpl w:val="E486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559BA"/>
    <w:multiLevelType w:val="multilevel"/>
    <w:tmpl w:val="E1AE8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93D94"/>
    <w:multiLevelType w:val="multilevel"/>
    <w:tmpl w:val="3A0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C58BC"/>
    <w:multiLevelType w:val="multilevel"/>
    <w:tmpl w:val="CFB8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8C755B"/>
    <w:multiLevelType w:val="multilevel"/>
    <w:tmpl w:val="DEA0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BD2C7C"/>
    <w:multiLevelType w:val="hybridMultilevel"/>
    <w:tmpl w:val="8C1EED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1D47E1"/>
    <w:multiLevelType w:val="hybridMultilevel"/>
    <w:tmpl w:val="72523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3486BAD"/>
    <w:multiLevelType w:val="multilevel"/>
    <w:tmpl w:val="4D4E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06174"/>
    <w:multiLevelType w:val="multilevel"/>
    <w:tmpl w:val="FB7E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A9519F"/>
    <w:multiLevelType w:val="multilevel"/>
    <w:tmpl w:val="FC4EEF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D250D64"/>
    <w:multiLevelType w:val="multilevel"/>
    <w:tmpl w:val="ACC2F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33048"/>
    <w:multiLevelType w:val="multilevel"/>
    <w:tmpl w:val="F73C5B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F100D2"/>
    <w:multiLevelType w:val="hybridMultilevel"/>
    <w:tmpl w:val="2ACE7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AF5D64"/>
    <w:multiLevelType w:val="multilevel"/>
    <w:tmpl w:val="FB92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67931"/>
    <w:multiLevelType w:val="multilevel"/>
    <w:tmpl w:val="64AA53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41584">
    <w:abstractNumId w:val="13"/>
  </w:num>
  <w:num w:numId="2" w16cid:durableId="98840431">
    <w:abstractNumId w:val="0"/>
  </w:num>
  <w:num w:numId="3" w16cid:durableId="2115247174">
    <w:abstractNumId w:val="16"/>
  </w:num>
  <w:num w:numId="4" w16cid:durableId="30957458">
    <w:abstractNumId w:val="10"/>
  </w:num>
  <w:num w:numId="5" w16cid:durableId="1184636974">
    <w:abstractNumId w:val="7"/>
  </w:num>
  <w:num w:numId="6" w16cid:durableId="40833951">
    <w:abstractNumId w:val="4"/>
  </w:num>
  <w:num w:numId="7" w16cid:durableId="1169129184">
    <w:abstractNumId w:val="17"/>
  </w:num>
  <w:num w:numId="8" w16cid:durableId="1154568055">
    <w:abstractNumId w:val="2"/>
  </w:num>
  <w:num w:numId="9" w16cid:durableId="87040761">
    <w:abstractNumId w:val="12"/>
  </w:num>
  <w:num w:numId="10" w16cid:durableId="706876109">
    <w:abstractNumId w:val="1"/>
  </w:num>
  <w:num w:numId="11" w16cid:durableId="1935941021">
    <w:abstractNumId w:val="6"/>
  </w:num>
  <w:num w:numId="12" w16cid:durableId="305400339">
    <w:abstractNumId w:val="11"/>
  </w:num>
  <w:num w:numId="13" w16cid:durableId="484008203">
    <w:abstractNumId w:val="8"/>
  </w:num>
  <w:num w:numId="14" w16cid:durableId="1353847864">
    <w:abstractNumId w:val="5"/>
    <w:lvlOverride w:ilvl="0">
      <w:lvl w:ilvl="0">
        <w:numFmt w:val="decimal"/>
        <w:lvlText w:val="%1."/>
        <w:lvlJc w:val="left"/>
      </w:lvl>
    </w:lvlOverride>
  </w:num>
  <w:num w:numId="15" w16cid:durableId="577789675">
    <w:abstractNumId w:val="14"/>
    <w:lvlOverride w:ilvl="0">
      <w:lvl w:ilvl="0">
        <w:numFmt w:val="decimal"/>
        <w:lvlText w:val="%1."/>
        <w:lvlJc w:val="left"/>
      </w:lvl>
    </w:lvlOverride>
  </w:num>
  <w:num w:numId="16" w16cid:durableId="1930673">
    <w:abstractNumId w:val="15"/>
    <w:lvlOverride w:ilvl="0">
      <w:lvl w:ilvl="0">
        <w:numFmt w:val="decimal"/>
        <w:lvlText w:val="%1."/>
        <w:lvlJc w:val="left"/>
      </w:lvl>
    </w:lvlOverride>
  </w:num>
  <w:num w:numId="17" w16cid:durableId="265120050">
    <w:abstractNumId w:val="18"/>
    <w:lvlOverride w:ilvl="0">
      <w:lvl w:ilvl="0">
        <w:numFmt w:val="decimal"/>
        <w:lvlText w:val="%1."/>
        <w:lvlJc w:val="left"/>
      </w:lvl>
    </w:lvlOverride>
  </w:num>
  <w:num w:numId="18" w16cid:durableId="1992178252">
    <w:abstractNumId w:val="9"/>
  </w:num>
  <w:num w:numId="19" w16cid:durableId="109008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4B"/>
    <w:rsid w:val="0000007C"/>
    <w:rsid w:val="000C6538"/>
    <w:rsid w:val="00110349"/>
    <w:rsid w:val="001255B4"/>
    <w:rsid w:val="001443B8"/>
    <w:rsid w:val="00145420"/>
    <w:rsid w:val="001504A4"/>
    <w:rsid w:val="00184427"/>
    <w:rsid w:val="001D1486"/>
    <w:rsid w:val="001D365E"/>
    <w:rsid w:val="001F172C"/>
    <w:rsid w:val="00200985"/>
    <w:rsid w:val="00202DB2"/>
    <w:rsid w:val="0022387E"/>
    <w:rsid w:val="00226AC4"/>
    <w:rsid w:val="002569FD"/>
    <w:rsid w:val="00271DE4"/>
    <w:rsid w:val="002930F3"/>
    <w:rsid w:val="002A6E50"/>
    <w:rsid w:val="002B0B8D"/>
    <w:rsid w:val="002C62FD"/>
    <w:rsid w:val="002F1980"/>
    <w:rsid w:val="002F337A"/>
    <w:rsid w:val="00353E69"/>
    <w:rsid w:val="00373817"/>
    <w:rsid w:val="00374E31"/>
    <w:rsid w:val="003A3B95"/>
    <w:rsid w:val="003A7002"/>
    <w:rsid w:val="003B5B3A"/>
    <w:rsid w:val="003E1D52"/>
    <w:rsid w:val="003E35FC"/>
    <w:rsid w:val="003F51B6"/>
    <w:rsid w:val="00426A28"/>
    <w:rsid w:val="004413EC"/>
    <w:rsid w:val="004710AE"/>
    <w:rsid w:val="00474BAD"/>
    <w:rsid w:val="00486016"/>
    <w:rsid w:val="00490C3B"/>
    <w:rsid w:val="004D1441"/>
    <w:rsid w:val="00523B5A"/>
    <w:rsid w:val="005708F5"/>
    <w:rsid w:val="0057335D"/>
    <w:rsid w:val="0058015B"/>
    <w:rsid w:val="00583E61"/>
    <w:rsid w:val="0063597A"/>
    <w:rsid w:val="0067749A"/>
    <w:rsid w:val="006C65E3"/>
    <w:rsid w:val="006E7C2B"/>
    <w:rsid w:val="006F6AB6"/>
    <w:rsid w:val="007107B2"/>
    <w:rsid w:val="007258CD"/>
    <w:rsid w:val="00731686"/>
    <w:rsid w:val="00750C5A"/>
    <w:rsid w:val="00783487"/>
    <w:rsid w:val="00820357"/>
    <w:rsid w:val="008215F6"/>
    <w:rsid w:val="008509A0"/>
    <w:rsid w:val="00871C7B"/>
    <w:rsid w:val="008B6124"/>
    <w:rsid w:val="008C656A"/>
    <w:rsid w:val="008D01EC"/>
    <w:rsid w:val="008D5DBD"/>
    <w:rsid w:val="00944E0B"/>
    <w:rsid w:val="009965B1"/>
    <w:rsid w:val="009A7880"/>
    <w:rsid w:val="009B2909"/>
    <w:rsid w:val="00A00680"/>
    <w:rsid w:val="00A021A8"/>
    <w:rsid w:val="00A31A34"/>
    <w:rsid w:val="00A341F6"/>
    <w:rsid w:val="00A4147C"/>
    <w:rsid w:val="00AA46D8"/>
    <w:rsid w:val="00AF79FA"/>
    <w:rsid w:val="00B0686C"/>
    <w:rsid w:val="00B11DAD"/>
    <w:rsid w:val="00BA40D4"/>
    <w:rsid w:val="00BC7AA3"/>
    <w:rsid w:val="00BF0A76"/>
    <w:rsid w:val="00BF1F88"/>
    <w:rsid w:val="00C5252A"/>
    <w:rsid w:val="00C54503"/>
    <w:rsid w:val="00C7410C"/>
    <w:rsid w:val="00C749A5"/>
    <w:rsid w:val="00C97952"/>
    <w:rsid w:val="00CA22C9"/>
    <w:rsid w:val="00CC3F71"/>
    <w:rsid w:val="00D20159"/>
    <w:rsid w:val="00D371F4"/>
    <w:rsid w:val="00D5410A"/>
    <w:rsid w:val="00D7025A"/>
    <w:rsid w:val="00D819B8"/>
    <w:rsid w:val="00DB150F"/>
    <w:rsid w:val="00DD69DA"/>
    <w:rsid w:val="00E01D28"/>
    <w:rsid w:val="00E5259F"/>
    <w:rsid w:val="00EA1F11"/>
    <w:rsid w:val="00EB1B42"/>
    <w:rsid w:val="00EB323C"/>
    <w:rsid w:val="00ED014B"/>
    <w:rsid w:val="00F03FA9"/>
    <w:rsid w:val="00F07068"/>
    <w:rsid w:val="00F1055E"/>
    <w:rsid w:val="00F13A61"/>
    <w:rsid w:val="00FE1803"/>
    <w:rsid w:val="00FF3D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3036EB"/>
  <w15:chartTrackingRefBased/>
  <w15:docId w15:val="{98F66568-4815-484F-964F-BC64E695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3A"/>
    <w:rPr>
      <w:rFonts w:ascii="Aptos" w:eastAsia="Aptos" w:hAnsi="Aptos" w:cs="Aptos"/>
      <w:kern w:val="0"/>
      <w:lang w:eastAsia="es-ES"/>
      <w14:ligatures w14:val="none"/>
    </w:rPr>
  </w:style>
  <w:style w:type="paragraph" w:styleId="Ttulo1">
    <w:name w:val="heading 1"/>
    <w:basedOn w:val="Normal"/>
    <w:next w:val="Normal"/>
    <w:link w:val="Ttulo1Car"/>
    <w:uiPriority w:val="9"/>
    <w:qFormat/>
    <w:rsid w:val="00ED0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0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01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01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01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01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01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01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01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01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01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01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01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01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01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01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01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014B"/>
    <w:rPr>
      <w:rFonts w:eastAsiaTheme="majorEastAsia" w:cstheme="majorBidi"/>
      <w:color w:val="272727" w:themeColor="text1" w:themeTint="D8"/>
    </w:rPr>
  </w:style>
  <w:style w:type="paragraph" w:styleId="Ttulo">
    <w:name w:val="Title"/>
    <w:basedOn w:val="Normal"/>
    <w:next w:val="Normal"/>
    <w:link w:val="TtuloCar"/>
    <w:uiPriority w:val="10"/>
    <w:qFormat/>
    <w:rsid w:val="00ED0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01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01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01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014B"/>
    <w:pPr>
      <w:spacing w:before="160"/>
      <w:jc w:val="center"/>
    </w:pPr>
    <w:rPr>
      <w:i/>
      <w:iCs/>
      <w:color w:val="404040" w:themeColor="text1" w:themeTint="BF"/>
    </w:rPr>
  </w:style>
  <w:style w:type="character" w:customStyle="1" w:styleId="CitaCar">
    <w:name w:val="Cita Car"/>
    <w:basedOn w:val="Fuentedeprrafopredeter"/>
    <w:link w:val="Cita"/>
    <w:uiPriority w:val="29"/>
    <w:rsid w:val="00ED014B"/>
    <w:rPr>
      <w:i/>
      <w:iCs/>
      <w:color w:val="404040" w:themeColor="text1" w:themeTint="BF"/>
    </w:rPr>
  </w:style>
  <w:style w:type="paragraph" w:styleId="Prrafodelista">
    <w:name w:val="List Paragraph"/>
    <w:basedOn w:val="Normal"/>
    <w:uiPriority w:val="34"/>
    <w:qFormat/>
    <w:rsid w:val="00ED014B"/>
    <w:pPr>
      <w:ind w:left="720"/>
      <w:contextualSpacing/>
    </w:pPr>
  </w:style>
  <w:style w:type="character" w:styleId="nfasisintenso">
    <w:name w:val="Intense Emphasis"/>
    <w:basedOn w:val="Fuentedeprrafopredeter"/>
    <w:uiPriority w:val="21"/>
    <w:qFormat/>
    <w:rsid w:val="00ED014B"/>
    <w:rPr>
      <w:i/>
      <w:iCs/>
      <w:color w:val="0F4761" w:themeColor="accent1" w:themeShade="BF"/>
    </w:rPr>
  </w:style>
  <w:style w:type="paragraph" w:styleId="Citadestacada">
    <w:name w:val="Intense Quote"/>
    <w:basedOn w:val="Normal"/>
    <w:next w:val="Normal"/>
    <w:link w:val="CitadestacadaCar"/>
    <w:uiPriority w:val="30"/>
    <w:qFormat/>
    <w:rsid w:val="00ED0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014B"/>
    <w:rPr>
      <w:i/>
      <w:iCs/>
      <w:color w:val="0F4761" w:themeColor="accent1" w:themeShade="BF"/>
    </w:rPr>
  </w:style>
  <w:style w:type="character" w:styleId="Referenciaintensa">
    <w:name w:val="Intense Reference"/>
    <w:basedOn w:val="Fuentedeprrafopredeter"/>
    <w:uiPriority w:val="32"/>
    <w:qFormat/>
    <w:rsid w:val="00ED014B"/>
    <w:rPr>
      <w:b/>
      <w:bCs/>
      <w:smallCaps/>
      <w:color w:val="0F4761" w:themeColor="accent1" w:themeShade="BF"/>
      <w:spacing w:val="5"/>
    </w:rPr>
  </w:style>
  <w:style w:type="paragraph" w:styleId="Encabezado">
    <w:name w:val="header"/>
    <w:basedOn w:val="Normal"/>
    <w:link w:val="EncabezadoCar"/>
    <w:uiPriority w:val="99"/>
    <w:unhideWhenUsed/>
    <w:rsid w:val="002F19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1980"/>
  </w:style>
  <w:style w:type="paragraph" w:styleId="Piedepgina">
    <w:name w:val="footer"/>
    <w:basedOn w:val="Normal"/>
    <w:link w:val="PiedepginaCar"/>
    <w:uiPriority w:val="99"/>
    <w:unhideWhenUsed/>
    <w:rsid w:val="002F19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1980"/>
  </w:style>
  <w:style w:type="character" w:styleId="Hipervnculo">
    <w:name w:val="Hyperlink"/>
    <w:basedOn w:val="Fuentedeprrafopredeter"/>
    <w:uiPriority w:val="99"/>
    <w:unhideWhenUsed/>
    <w:rsid w:val="003F51B6"/>
    <w:rPr>
      <w:color w:val="467886" w:themeColor="hyperlink"/>
      <w:u w:val="single"/>
    </w:rPr>
  </w:style>
  <w:style w:type="character" w:styleId="Mencinsinresolver">
    <w:name w:val="Unresolved Mention"/>
    <w:basedOn w:val="Fuentedeprrafopredeter"/>
    <w:uiPriority w:val="99"/>
    <w:semiHidden/>
    <w:unhideWhenUsed/>
    <w:rsid w:val="00200985"/>
    <w:rPr>
      <w:color w:val="605E5C"/>
      <w:shd w:val="clear" w:color="auto" w:fill="E1DFDD"/>
    </w:rPr>
  </w:style>
  <w:style w:type="paragraph" w:styleId="Revisin">
    <w:name w:val="Revision"/>
    <w:hidden/>
    <w:uiPriority w:val="99"/>
    <w:semiHidden/>
    <w:rsid w:val="00EB323C"/>
    <w:pPr>
      <w:spacing w:after="0" w:line="240" w:lineRule="auto"/>
    </w:pPr>
    <w:rPr>
      <w:rFonts w:ascii="Aptos" w:eastAsia="Aptos" w:hAnsi="Aptos" w:cs="Aptos"/>
      <w:kern w:val="0"/>
      <w:lang w:eastAsia="es-ES"/>
      <w14:ligatures w14:val="none"/>
    </w:rPr>
  </w:style>
  <w:style w:type="character" w:styleId="Hipervnculovisitado">
    <w:name w:val="FollowedHyperlink"/>
    <w:basedOn w:val="Fuentedeprrafopredeter"/>
    <w:uiPriority w:val="99"/>
    <w:semiHidden/>
    <w:unhideWhenUsed/>
    <w:rsid w:val="001255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5704">
      <w:bodyDiv w:val="1"/>
      <w:marLeft w:val="0"/>
      <w:marRight w:val="0"/>
      <w:marTop w:val="0"/>
      <w:marBottom w:val="0"/>
      <w:divBdr>
        <w:top w:val="none" w:sz="0" w:space="0" w:color="auto"/>
        <w:left w:val="none" w:sz="0" w:space="0" w:color="auto"/>
        <w:bottom w:val="none" w:sz="0" w:space="0" w:color="auto"/>
        <w:right w:val="none" w:sz="0" w:space="0" w:color="auto"/>
      </w:divBdr>
    </w:div>
    <w:div w:id="98334084">
      <w:bodyDiv w:val="1"/>
      <w:marLeft w:val="0"/>
      <w:marRight w:val="0"/>
      <w:marTop w:val="0"/>
      <w:marBottom w:val="0"/>
      <w:divBdr>
        <w:top w:val="none" w:sz="0" w:space="0" w:color="auto"/>
        <w:left w:val="none" w:sz="0" w:space="0" w:color="auto"/>
        <w:bottom w:val="none" w:sz="0" w:space="0" w:color="auto"/>
        <w:right w:val="none" w:sz="0" w:space="0" w:color="auto"/>
      </w:divBdr>
    </w:div>
    <w:div w:id="102386506">
      <w:bodyDiv w:val="1"/>
      <w:marLeft w:val="0"/>
      <w:marRight w:val="0"/>
      <w:marTop w:val="0"/>
      <w:marBottom w:val="0"/>
      <w:divBdr>
        <w:top w:val="none" w:sz="0" w:space="0" w:color="auto"/>
        <w:left w:val="none" w:sz="0" w:space="0" w:color="auto"/>
        <w:bottom w:val="none" w:sz="0" w:space="0" w:color="auto"/>
        <w:right w:val="none" w:sz="0" w:space="0" w:color="auto"/>
      </w:divBdr>
    </w:div>
    <w:div w:id="460226518">
      <w:bodyDiv w:val="1"/>
      <w:marLeft w:val="0"/>
      <w:marRight w:val="0"/>
      <w:marTop w:val="0"/>
      <w:marBottom w:val="0"/>
      <w:divBdr>
        <w:top w:val="none" w:sz="0" w:space="0" w:color="auto"/>
        <w:left w:val="none" w:sz="0" w:space="0" w:color="auto"/>
        <w:bottom w:val="none" w:sz="0" w:space="0" w:color="auto"/>
        <w:right w:val="none" w:sz="0" w:space="0" w:color="auto"/>
      </w:divBdr>
    </w:div>
    <w:div w:id="828398841">
      <w:bodyDiv w:val="1"/>
      <w:marLeft w:val="0"/>
      <w:marRight w:val="0"/>
      <w:marTop w:val="0"/>
      <w:marBottom w:val="0"/>
      <w:divBdr>
        <w:top w:val="none" w:sz="0" w:space="0" w:color="auto"/>
        <w:left w:val="none" w:sz="0" w:space="0" w:color="auto"/>
        <w:bottom w:val="none" w:sz="0" w:space="0" w:color="auto"/>
        <w:right w:val="none" w:sz="0" w:space="0" w:color="auto"/>
      </w:divBdr>
    </w:div>
    <w:div w:id="948972456">
      <w:bodyDiv w:val="1"/>
      <w:marLeft w:val="0"/>
      <w:marRight w:val="0"/>
      <w:marTop w:val="0"/>
      <w:marBottom w:val="0"/>
      <w:divBdr>
        <w:top w:val="none" w:sz="0" w:space="0" w:color="auto"/>
        <w:left w:val="none" w:sz="0" w:space="0" w:color="auto"/>
        <w:bottom w:val="none" w:sz="0" w:space="0" w:color="auto"/>
        <w:right w:val="none" w:sz="0" w:space="0" w:color="auto"/>
      </w:divBdr>
    </w:div>
    <w:div w:id="1023359306">
      <w:bodyDiv w:val="1"/>
      <w:marLeft w:val="0"/>
      <w:marRight w:val="0"/>
      <w:marTop w:val="0"/>
      <w:marBottom w:val="0"/>
      <w:divBdr>
        <w:top w:val="none" w:sz="0" w:space="0" w:color="auto"/>
        <w:left w:val="none" w:sz="0" w:space="0" w:color="auto"/>
        <w:bottom w:val="none" w:sz="0" w:space="0" w:color="auto"/>
        <w:right w:val="none" w:sz="0" w:space="0" w:color="auto"/>
      </w:divBdr>
    </w:div>
    <w:div w:id="1318417997">
      <w:bodyDiv w:val="1"/>
      <w:marLeft w:val="0"/>
      <w:marRight w:val="0"/>
      <w:marTop w:val="0"/>
      <w:marBottom w:val="0"/>
      <w:divBdr>
        <w:top w:val="none" w:sz="0" w:space="0" w:color="auto"/>
        <w:left w:val="none" w:sz="0" w:space="0" w:color="auto"/>
        <w:bottom w:val="none" w:sz="0" w:space="0" w:color="auto"/>
        <w:right w:val="none" w:sz="0" w:space="0" w:color="auto"/>
      </w:divBdr>
    </w:div>
    <w:div w:id="1426341402">
      <w:bodyDiv w:val="1"/>
      <w:marLeft w:val="0"/>
      <w:marRight w:val="0"/>
      <w:marTop w:val="0"/>
      <w:marBottom w:val="0"/>
      <w:divBdr>
        <w:top w:val="none" w:sz="0" w:space="0" w:color="auto"/>
        <w:left w:val="none" w:sz="0" w:space="0" w:color="auto"/>
        <w:bottom w:val="none" w:sz="0" w:space="0" w:color="auto"/>
        <w:right w:val="none" w:sz="0" w:space="0" w:color="auto"/>
      </w:divBdr>
    </w:div>
    <w:div w:id="1536580127">
      <w:bodyDiv w:val="1"/>
      <w:marLeft w:val="0"/>
      <w:marRight w:val="0"/>
      <w:marTop w:val="0"/>
      <w:marBottom w:val="0"/>
      <w:divBdr>
        <w:top w:val="none" w:sz="0" w:space="0" w:color="auto"/>
        <w:left w:val="none" w:sz="0" w:space="0" w:color="auto"/>
        <w:bottom w:val="none" w:sz="0" w:space="0" w:color="auto"/>
        <w:right w:val="none" w:sz="0" w:space="0" w:color="auto"/>
      </w:divBdr>
    </w:div>
    <w:div w:id="1590848324">
      <w:bodyDiv w:val="1"/>
      <w:marLeft w:val="0"/>
      <w:marRight w:val="0"/>
      <w:marTop w:val="0"/>
      <w:marBottom w:val="0"/>
      <w:divBdr>
        <w:top w:val="none" w:sz="0" w:space="0" w:color="auto"/>
        <w:left w:val="none" w:sz="0" w:space="0" w:color="auto"/>
        <w:bottom w:val="none" w:sz="0" w:space="0" w:color="auto"/>
        <w:right w:val="none" w:sz="0" w:space="0" w:color="auto"/>
      </w:divBdr>
    </w:div>
    <w:div w:id="181209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phenix.com/es/" TargetMode="External"/><Relationship Id="rId3" Type="http://schemas.openxmlformats.org/officeDocument/2006/relationships/settings" Target="settings.xml"/><Relationship Id="rId7" Type="http://schemas.openxmlformats.org/officeDocument/2006/relationships/hyperlink" Target="https://www.wearephenix.co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581</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CharactersWithSpaces>
  <SharedDoc>false</SharedDoc>
  <HLinks>
    <vt:vector size="18" baseType="variant">
      <vt:variant>
        <vt:i4>4063270</vt:i4>
      </vt:variant>
      <vt:variant>
        <vt:i4>6</vt:i4>
      </vt:variant>
      <vt:variant>
        <vt:i4>0</vt:i4>
      </vt:variant>
      <vt:variant>
        <vt:i4>5</vt:i4>
      </vt:variant>
      <vt:variant>
        <vt:lpwstr>https://www.wearephenix.com/es/</vt:lpwstr>
      </vt:variant>
      <vt:variant>
        <vt:lpwstr/>
      </vt:variant>
      <vt:variant>
        <vt:i4>2293851</vt:i4>
      </vt:variant>
      <vt:variant>
        <vt:i4>3</vt:i4>
      </vt:variant>
      <vt:variant>
        <vt:i4>0</vt:i4>
      </vt:variant>
      <vt:variant>
        <vt:i4>5</vt:i4>
      </vt:variant>
      <vt:variant>
        <vt:lpwstr>https://www.aesan.gob.es/AECOSAN/web/home/aecosan_inicio.htm</vt:lpwstr>
      </vt:variant>
      <vt:variant>
        <vt:lpwstr/>
      </vt:variant>
      <vt:variant>
        <vt:i4>4063270</vt:i4>
      </vt:variant>
      <vt:variant>
        <vt:i4>0</vt:i4>
      </vt:variant>
      <vt:variant>
        <vt:i4>0</vt:i4>
      </vt:variant>
      <vt:variant>
        <vt:i4>5</vt:i4>
      </vt:variant>
      <vt:variant>
        <vt:lpwstr>https://www.wearephenix.com/es/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Sánchez-Girón</dc:creator>
  <cp:keywords/>
  <dc:description/>
  <cp:lastModifiedBy>María Sánchez-Girón</cp:lastModifiedBy>
  <cp:revision>22</cp:revision>
  <dcterms:created xsi:type="dcterms:W3CDTF">2025-05-05T11:17:00Z</dcterms:created>
  <dcterms:modified xsi:type="dcterms:W3CDTF">2025-05-20T17:10:00Z</dcterms:modified>
</cp:coreProperties>
</file>