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365E" w14:textId="77777777" w:rsidR="00D242C0" w:rsidRDefault="00D242C0" w:rsidP="00D242C0">
      <w:pPr>
        <w:pBdr>
          <w:top w:val="nil"/>
          <w:left w:val="nil"/>
          <w:bottom w:val="nil"/>
          <w:right w:val="nil"/>
          <w:between w:val="nil"/>
        </w:pBdr>
        <w:spacing w:after="0"/>
        <w:jc w:val="center"/>
        <w:rPr>
          <w:rFonts w:ascii="Century Gothic" w:eastAsia="Century Gothic" w:hAnsi="Century Gothic" w:cs="Century Gothic"/>
          <w:b/>
          <w:color w:val="C55911"/>
          <w:sz w:val="22"/>
          <w:szCs w:val="22"/>
          <w:u w:val="single"/>
        </w:rPr>
      </w:pPr>
    </w:p>
    <w:p w14:paraId="68B78A64" w14:textId="77777777" w:rsidR="00D242C0" w:rsidRPr="008565B6" w:rsidRDefault="00D242C0" w:rsidP="00D242C0">
      <w:pPr>
        <w:jc w:val="center"/>
        <w:rPr>
          <w:rFonts w:ascii="Century Gothic" w:eastAsia="Century Gothic" w:hAnsi="Century Gothic" w:cs="Century Gothic"/>
          <w:b/>
          <w:color w:val="C55911"/>
          <w:sz w:val="22"/>
          <w:szCs w:val="22"/>
          <w:u w:val="single"/>
        </w:rPr>
      </w:pPr>
      <w:r>
        <w:rPr>
          <w:rFonts w:ascii="Century Gothic" w:eastAsia="Century Gothic" w:hAnsi="Century Gothic" w:cs="Century Gothic"/>
          <w:b/>
          <w:color w:val="C55911"/>
          <w:sz w:val="22"/>
          <w:szCs w:val="22"/>
          <w:u w:val="single"/>
        </w:rPr>
        <w:t>Día Mundial de la Gastronomía Sostenible: 18 de junio de 2025</w:t>
      </w:r>
    </w:p>
    <w:p w14:paraId="6444FACA" w14:textId="145192F0" w:rsidR="00D242C0" w:rsidRPr="00425267" w:rsidRDefault="00D242C0" w:rsidP="00D242C0">
      <w:pPr>
        <w:pBdr>
          <w:top w:val="nil"/>
          <w:left w:val="nil"/>
          <w:bottom w:val="nil"/>
          <w:right w:val="nil"/>
          <w:between w:val="nil"/>
        </w:pBdr>
        <w:spacing w:after="0"/>
        <w:jc w:val="center"/>
        <w:rPr>
          <w:rFonts w:ascii="Century Gothic" w:eastAsia="Century Gothic" w:hAnsi="Century Gothic" w:cs="Century Gothic"/>
          <w:b/>
          <w:color w:val="C55911"/>
          <w:sz w:val="34"/>
          <w:szCs w:val="34"/>
        </w:rPr>
      </w:pPr>
      <w:r w:rsidRPr="00D242C0">
        <w:rPr>
          <w:rFonts w:ascii="Century Gothic" w:eastAsia="Century Gothic" w:hAnsi="Century Gothic" w:cs="Century Gothic"/>
          <w:b/>
          <w:bCs/>
          <w:color w:val="C55911"/>
          <w:sz w:val="34"/>
          <w:szCs w:val="34"/>
        </w:rPr>
        <w:t>Reducir el desperdicio en el supermercado: el primer paso hacia una gastronomía sostenible</w:t>
      </w:r>
      <w:r w:rsidRPr="00425267">
        <w:br/>
      </w:r>
    </w:p>
    <w:p w14:paraId="1FD40442" w14:textId="77777777" w:rsidR="00D242C0" w:rsidRPr="00D242C0" w:rsidRDefault="00D242C0" w:rsidP="00D242C0">
      <w:pPr>
        <w:numPr>
          <w:ilvl w:val="0"/>
          <w:numId w:val="8"/>
        </w:numPr>
        <w:spacing w:after="0"/>
        <w:jc w:val="both"/>
        <w:rPr>
          <w:rFonts w:ascii="Century Gothic" w:eastAsia="Century Gothic" w:hAnsi="Century Gothic" w:cs="Century Gothic"/>
          <w:i/>
          <w:iCs/>
          <w:color w:val="000000"/>
          <w:kern w:val="0"/>
          <w:sz w:val="22"/>
          <w:szCs w:val="22"/>
          <w:lang w:eastAsia="es-ES"/>
          <w14:ligatures w14:val="none"/>
        </w:rPr>
      </w:pPr>
      <w:r w:rsidRPr="00D242C0">
        <w:rPr>
          <w:rFonts w:ascii="Century Gothic" w:eastAsia="Century Gothic" w:hAnsi="Century Gothic" w:cs="Century Gothic"/>
          <w:i/>
          <w:iCs/>
          <w:color w:val="000000"/>
          <w:kern w:val="0"/>
          <w:sz w:val="22"/>
          <w:szCs w:val="22"/>
          <w:lang w:eastAsia="es-ES"/>
          <w14:ligatures w14:val="none"/>
        </w:rPr>
        <w:t>Phenix subraya la importancia de gestionar el excedente alimentario en el punto de venta para avanzar hacia una gastronomía más ética y respetuosa con el medio ambiente</w:t>
      </w:r>
    </w:p>
    <w:p w14:paraId="23B41EA3" w14:textId="06F24783" w:rsidR="00D242C0" w:rsidRPr="00D242C0" w:rsidRDefault="00D242C0" w:rsidP="00D242C0">
      <w:pPr>
        <w:spacing w:after="0"/>
        <w:ind w:left="720"/>
        <w:jc w:val="both"/>
        <w:rPr>
          <w:rFonts w:ascii="Century Gothic" w:eastAsia="Century Gothic" w:hAnsi="Century Gothic" w:cs="Century Gothic"/>
          <w:i/>
          <w:color w:val="000000"/>
          <w:kern w:val="0"/>
          <w:sz w:val="22"/>
          <w:szCs w:val="22"/>
          <w:lang w:eastAsia="es-ES"/>
          <w14:ligatures w14:val="none"/>
        </w:rPr>
      </w:pPr>
    </w:p>
    <w:p w14:paraId="500811B4" w14:textId="77777777" w:rsidR="00D242C0" w:rsidRPr="00D242C0" w:rsidRDefault="00D242C0" w:rsidP="00D242C0">
      <w:pPr>
        <w:numPr>
          <w:ilvl w:val="0"/>
          <w:numId w:val="9"/>
        </w:numPr>
        <w:spacing w:after="0"/>
        <w:jc w:val="both"/>
        <w:rPr>
          <w:rFonts w:ascii="Century Gothic" w:eastAsia="Century Gothic" w:hAnsi="Century Gothic" w:cs="Century Gothic"/>
          <w:i/>
          <w:iCs/>
          <w:color w:val="000000"/>
          <w:kern w:val="0"/>
          <w:sz w:val="22"/>
          <w:szCs w:val="22"/>
          <w:lang w:eastAsia="es-ES"/>
          <w14:ligatures w14:val="none"/>
        </w:rPr>
      </w:pPr>
      <w:r w:rsidRPr="00D242C0">
        <w:rPr>
          <w:rFonts w:ascii="Century Gothic" w:eastAsia="Century Gothic" w:hAnsi="Century Gothic" w:cs="Century Gothic"/>
          <w:i/>
          <w:iCs/>
          <w:color w:val="000000"/>
          <w:kern w:val="0"/>
          <w:sz w:val="22"/>
          <w:szCs w:val="22"/>
          <w:lang w:eastAsia="es-ES"/>
          <w14:ligatures w14:val="none"/>
        </w:rPr>
        <w:t>Aplicar descuentos en productos próximos a caducar, las donaciones y la medición del impacto son algunas de las recomendaciones de Phenix para avanzar hacia una gastronomía sostenible</w:t>
      </w:r>
    </w:p>
    <w:p w14:paraId="4759A8B8" w14:textId="77777777" w:rsidR="00D242C0" w:rsidRPr="00496FE0" w:rsidRDefault="00D242C0" w:rsidP="00D242C0">
      <w:pPr>
        <w:spacing w:after="0"/>
        <w:ind w:left="720"/>
        <w:jc w:val="both"/>
        <w:rPr>
          <w:rFonts w:ascii="Century Gothic" w:eastAsia="Century Gothic" w:hAnsi="Century Gothic" w:cs="Century Gothic"/>
          <w:i/>
          <w:color w:val="000000"/>
          <w:kern w:val="0"/>
          <w:sz w:val="22"/>
          <w:szCs w:val="22"/>
          <w:lang w:eastAsia="es-ES"/>
          <w14:ligatures w14:val="none"/>
        </w:rPr>
      </w:pPr>
    </w:p>
    <w:p w14:paraId="3001961C" w14:textId="77777777" w:rsidR="0066113E" w:rsidRPr="0066113E" w:rsidRDefault="0066113E" w:rsidP="0066113E">
      <w:pPr>
        <w:jc w:val="both"/>
        <w:rPr>
          <w:rFonts w:ascii="Open Sans" w:hAnsi="Open Sans" w:cs="Open Sans"/>
          <w:sz w:val="22"/>
          <w:szCs w:val="22"/>
        </w:rPr>
      </w:pPr>
      <w:r w:rsidRPr="0066113E">
        <w:rPr>
          <w:rFonts w:ascii="Open Sans" w:hAnsi="Open Sans" w:cs="Open Sans"/>
          <w:b/>
          <w:bCs/>
          <w:sz w:val="22"/>
          <w:szCs w:val="22"/>
        </w:rPr>
        <w:t>Madrid, 18 de junio de 2025</w:t>
      </w:r>
      <w:r w:rsidRPr="0066113E">
        <w:rPr>
          <w:rFonts w:ascii="Open Sans" w:hAnsi="Open Sans" w:cs="Open Sans"/>
          <w:sz w:val="22"/>
          <w:szCs w:val="22"/>
        </w:rPr>
        <w:t>.  La gastronomía sostenible no solo se refiere al arte de cocinar o a las tradiciones culinarias de una región, sino también a la manera en que se cultivan, transportan y consumen los alimentos, procurando minimizar el impacto ambiental y garantizar prácticas responsables a lo largo de toda la cadena alimentaria.</w:t>
      </w:r>
    </w:p>
    <w:p w14:paraId="3D097D86" w14:textId="64D7A475" w:rsidR="0066113E" w:rsidRPr="0066113E" w:rsidRDefault="0066113E" w:rsidP="0066113E">
      <w:pPr>
        <w:jc w:val="both"/>
        <w:rPr>
          <w:rFonts w:ascii="Open Sans" w:hAnsi="Open Sans" w:cs="Open Sans"/>
          <w:sz w:val="22"/>
          <w:szCs w:val="22"/>
        </w:rPr>
      </w:pPr>
      <w:r w:rsidRPr="0066113E">
        <w:rPr>
          <w:rFonts w:ascii="Open Sans" w:hAnsi="Open Sans" w:cs="Open Sans"/>
          <w:sz w:val="22"/>
          <w:szCs w:val="22"/>
        </w:rPr>
        <w:t xml:space="preserve">Con motivo del </w:t>
      </w:r>
      <w:r w:rsidRPr="0066113E">
        <w:rPr>
          <w:rFonts w:ascii="Open Sans" w:hAnsi="Open Sans" w:cs="Open Sans"/>
          <w:b/>
          <w:bCs/>
          <w:sz w:val="22"/>
          <w:szCs w:val="22"/>
        </w:rPr>
        <w:t xml:space="preserve">Día Mundial de la Gastronomía Sostenible, </w:t>
      </w:r>
      <w:r w:rsidRPr="0066113E">
        <w:rPr>
          <w:rFonts w:ascii="Open Sans" w:hAnsi="Open Sans" w:cs="Open Sans"/>
          <w:sz w:val="22"/>
          <w:szCs w:val="22"/>
        </w:rPr>
        <w:t xml:space="preserve">que se celebra el 18 de junio, </w:t>
      </w:r>
      <w:hyperlink r:id="rId7" w:history="1">
        <w:r w:rsidRPr="0066113E">
          <w:rPr>
            <w:rStyle w:val="Hipervnculo"/>
            <w:rFonts w:ascii="Open Sans" w:hAnsi="Open Sans" w:cs="Open Sans"/>
            <w:b/>
            <w:bCs/>
            <w:sz w:val="22"/>
            <w:szCs w:val="22"/>
          </w:rPr>
          <w:t>Phenix</w:t>
        </w:r>
      </w:hyperlink>
      <w:r w:rsidRPr="0066113E">
        <w:rPr>
          <w:rFonts w:ascii="Open Sans" w:hAnsi="Open Sans" w:cs="Open Sans"/>
          <w:sz w:val="22"/>
          <w:szCs w:val="22"/>
        </w:rPr>
        <w:t xml:space="preserve">, empresa especializada en la gestión de excedentes, subraya que </w:t>
      </w:r>
      <w:r w:rsidRPr="0066113E">
        <w:rPr>
          <w:rFonts w:ascii="Open Sans" w:hAnsi="Open Sans" w:cs="Open Sans"/>
          <w:b/>
          <w:bCs/>
          <w:sz w:val="22"/>
          <w:szCs w:val="22"/>
        </w:rPr>
        <w:t>una cocina verdaderamente sostenible empieza en el supermercado</w:t>
      </w:r>
      <w:r w:rsidRPr="0066113E">
        <w:rPr>
          <w:rFonts w:ascii="Open Sans" w:hAnsi="Open Sans" w:cs="Open Sans"/>
          <w:sz w:val="22"/>
          <w:szCs w:val="22"/>
        </w:rPr>
        <w:t>, donde cada día se pierden alimentos en perfecto estado que nunca llegarán a ser vendidos. </w:t>
      </w:r>
    </w:p>
    <w:p w14:paraId="098C21FA" w14:textId="1D5921CD" w:rsidR="0066113E" w:rsidRPr="0066113E" w:rsidRDefault="0066113E" w:rsidP="0066113E">
      <w:pPr>
        <w:rPr>
          <w:rFonts w:ascii="Open Sans" w:hAnsi="Open Sans" w:cs="Open Sans"/>
          <w:sz w:val="22"/>
          <w:szCs w:val="22"/>
        </w:rPr>
      </w:pPr>
      <w:r w:rsidRPr="0066113E">
        <w:rPr>
          <w:rFonts w:ascii="Open Sans" w:hAnsi="Open Sans" w:cs="Open Sans"/>
          <w:b/>
          <w:bCs/>
          <w:sz w:val="22"/>
          <w:szCs w:val="22"/>
        </w:rPr>
        <w:t>La cocina sostenible comienza en el supermercado</w:t>
      </w:r>
    </w:p>
    <w:p w14:paraId="7FB9EE3F" w14:textId="48686E27" w:rsidR="0066113E" w:rsidRPr="0066113E" w:rsidRDefault="0066113E" w:rsidP="0066113E">
      <w:pPr>
        <w:jc w:val="both"/>
        <w:rPr>
          <w:rFonts w:ascii="Open Sans" w:hAnsi="Open Sans" w:cs="Open Sans"/>
          <w:sz w:val="22"/>
          <w:szCs w:val="22"/>
        </w:rPr>
      </w:pPr>
      <w:r w:rsidRPr="0066113E">
        <w:rPr>
          <w:rFonts w:ascii="Open Sans" w:hAnsi="Open Sans" w:cs="Open Sans"/>
          <w:sz w:val="22"/>
          <w:szCs w:val="22"/>
        </w:rPr>
        <w:t xml:space="preserve">Evitar que los alimentos acaben en la basura antes de tener una oportunidad de ser aprovechados es un paso esencial hacia una alimentación más responsable. Según el Barómetro del Desperdicio Alimentario elaborado por AECOC en colaboración con Phenix, </w:t>
      </w:r>
      <w:r w:rsidRPr="0066113E">
        <w:rPr>
          <w:rFonts w:ascii="Open Sans" w:hAnsi="Open Sans" w:cs="Open Sans"/>
          <w:b/>
          <w:bCs/>
          <w:sz w:val="22"/>
          <w:szCs w:val="22"/>
        </w:rPr>
        <w:t>el 71% de los consumidores apuntan que</w:t>
      </w:r>
      <w:r w:rsidRPr="0066113E">
        <w:rPr>
          <w:rFonts w:ascii="Open Sans" w:hAnsi="Open Sans" w:cs="Open Sans"/>
          <w:sz w:val="22"/>
          <w:szCs w:val="22"/>
        </w:rPr>
        <w:t xml:space="preserve"> </w:t>
      </w:r>
      <w:r w:rsidRPr="0066113E">
        <w:rPr>
          <w:rFonts w:ascii="Open Sans" w:hAnsi="Open Sans" w:cs="Open Sans"/>
          <w:b/>
          <w:bCs/>
          <w:sz w:val="22"/>
          <w:szCs w:val="22"/>
        </w:rPr>
        <w:t>los productos caducan antes de venderse</w:t>
      </w:r>
      <w:r w:rsidRPr="0066113E">
        <w:rPr>
          <w:rFonts w:ascii="Open Sans" w:hAnsi="Open Sans" w:cs="Open Sans"/>
          <w:sz w:val="22"/>
          <w:szCs w:val="22"/>
        </w:rPr>
        <w:t>. </w:t>
      </w:r>
    </w:p>
    <w:p w14:paraId="1AF5D75B" w14:textId="77777777" w:rsidR="0066113E" w:rsidRPr="0066113E" w:rsidRDefault="0066113E" w:rsidP="0066113E">
      <w:pPr>
        <w:jc w:val="both"/>
        <w:rPr>
          <w:rFonts w:ascii="Open Sans" w:hAnsi="Open Sans" w:cs="Open Sans"/>
          <w:sz w:val="22"/>
          <w:szCs w:val="22"/>
        </w:rPr>
      </w:pPr>
      <w:r w:rsidRPr="0066113E">
        <w:rPr>
          <w:rFonts w:ascii="Open Sans" w:hAnsi="Open Sans" w:cs="Open Sans"/>
          <w:sz w:val="22"/>
          <w:szCs w:val="22"/>
        </w:rPr>
        <w:t xml:space="preserve">Este desperdicio inicial representa no solo una pérdida económica, sino también un impacto ambiental significativo, pues cada alimento que se desecha supone un uso innecesario de recursos naturales como agua, suelo y energía. Por ello, </w:t>
      </w:r>
      <w:r w:rsidRPr="0066113E">
        <w:rPr>
          <w:rFonts w:ascii="Open Sans" w:hAnsi="Open Sans" w:cs="Open Sans"/>
          <w:b/>
          <w:bCs/>
          <w:sz w:val="22"/>
          <w:szCs w:val="22"/>
        </w:rPr>
        <w:t xml:space="preserve">actuar en las primeras etapas de la cadena es clave para avanzar hacia un modelo alimentario más justo y eficiente </w:t>
      </w:r>
      <w:r w:rsidRPr="0066113E">
        <w:rPr>
          <w:rFonts w:ascii="Open Sans" w:hAnsi="Open Sans" w:cs="Open Sans"/>
          <w:sz w:val="22"/>
          <w:szCs w:val="22"/>
        </w:rPr>
        <w:t>que reduzca la huella ecológica y garantice la disponibilidad de alimentos para todos.</w:t>
      </w:r>
    </w:p>
    <w:p w14:paraId="64538A42" w14:textId="77777777" w:rsidR="0066113E" w:rsidRPr="0066113E" w:rsidRDefault="0066113E" w:rsidP="0066113E">
      <w:pPr>
        <w:rPr>
          <w:rFonts w:ascii="Open Sans" w:hAnsi="Open Sans" w:cs="Open Sans"/>
          <w:sz w:val="22"/>
          <w:szCs w:val="22"/>
        </w:rPr>
      </w:pPr>
    </w:p>
    <w:p w14:paraId="3F26565C" w14:textId="56994242" w:rsidR="0066113E" w:rsidRPr="0066113E" w:rsidRDefault="0066113E" w:rsidP="0066113E">
      <w:pPr>
        <w:rPr>
          <w:rFonts w:ascii="Open Sans" w:hAnsi="Open Sans" w:cs="Open Sans"/>
          <w:sz w:val="22"/>
          <w:szCs w:val="22"/>
        </w:rPr>
      </w:pPr>
      <w:r w:rsidRPr="0066113E">
        <w:rPr>
          <w:rFonts w:ascii="Open Sans" w:hAnsi="Open Sans" w:cs="Open Sans"/>
          <w:b/>
          <w:bCs/>
          <w:sz w:val="22"/>
          <w:szCs w:val="22"/>
        </w:rPr>
        <w:lastRenderedPageBreak/>
        <w:t>Acciones concretas para avanzar hacia la gastronomía sostenible</w:t>
      </w:r>
    </w:p>
    <w:p w14:paraId="741A9E2F" w14:textId="10C95A5D" w:rsidR="0066113E" w:rsidRPr="0066113E" w:rsidRDefault="0066113E" w:rsidP="0066113E">
      <w:pPr>
        <w:spacing w:after="0"/>
        <w:jc w:val="both"/>
        <w:rPr>
          <w:rFonts w:ascii="Open Sans" w:hAnsi="Open Sans" w:cs="Open Sans"/>
          <w:sz w:val="22"/>
          <w:szCs w:val="22"/>
        </w:rPr>
      </w:pPr>
      <w:r w:rsidRPr="0066113E">
        <w:rPr>
          <w:rFonts w:ascii="Open Sans" w:hAnsi="Open Sans" w:cs="Open Sans"/>
          <w:sz w:val="22"/>
          <w:szCs w:val="22"/>
        </w:rPr>
        <w:t>Para ayudar a los supermercados a reducir su impacto ambiental y contribuir a una cocina verdaderamente sostenible, Phenix propone medidas concretas que pueden implementarse en los supermercados: </w:t>
      </w:r>
      <w:r w:rsidRPr="0066113E">
        <w:rPr>
          <w:rFonts w:ascii="Open Sans" w:hAnsi="Open Sans" w:cs="Open Sans"/>
          <w:sz w:val="22"/>
          <w:szCs w:val="22"/>
        </w:rPr>
        <w:br/>
      </w:r>
    </w:p>
    <w:p w14:paraId="187171E0" w14:textId="2D318EED" w:rsidR="0066113E" w:rsidRPr="0066113E" w:rsidRDefault="0066113E" w:rsidP="0066113E">
      <w:pPr>
        <w:numPr>
          <w:ilvl w:val="0"/>
          <w:numId w:val="10"/>
        </w:numPr>
        <w:spacing w:after="0"/>
        <w:jc w:val="both"/>
        <w:rPr>
          <w:rFonts w:ascii="Open Sans" w:hAnsi="Open Sans" w:cs="Open Sans"/>
          <w:sz w:val="22"/>
          <w:szCs w:val="22"/>
        </w:rPr>
      </w:pPr>
      <w:r w:rsidRPr="0066113E">
        <w:rPr>
          <w:rFonts w:ascii="Open Sans" w:hAnsi="Open Sans" w:cs="Open Sans"/>
          <w:b/>
          <w:bCs/>
          <w:sz w:val="22"/>
          <w:szCs w:val="22"/>
        </w:rPr>
        <w:t>Aplicar una política de "comprar para vender":</w:t>
      </w:r>
      <w:r w:rsidRPr="0066113E">
        <w:rPr>
          <w:rFonts w:ascii="Open Sans" w:hAnsi="Open Sans" w:cs="Open Sans"/>
          <w:sz w:val="22"/>
          <w:szCs w:val="22"/>
        </w:rPr>
        <w:t xml:space="preserve"> ajustar la oferta a la demanda real para evitar excedentes y optimizar la gestión del inventario.</w:t>
      </w:r>
      <w:r w:rsidRPr="0066113E">
        <w:rPr>
          <w:rFonts w:ascii="Open Sans" w:hAnsi="Open Sans" w:cs="Open Sans"/>
          <w:sz w:val="22"/>
          <w:szCs w:val="22"/>
        </w:rPr>
        <w:br/>
      </w:r>
    </w:p>
    <w:p w14:paraId="532A6482" w14:textId="77777777" w:rsidR="0066113E" w:rsidRPr="0066113E" w:rsidRDefault="0066113E" w:rsidP="0066113E">
      <w:pPr>
        <w:numPr>
          <w:ilvl w:val="0"/>
          <w:numId w:val="11"/>
        </w:numPr>
        <w:spacing w:after="0"/>
        <w:jc w:val="both"/>
        <w:rPr>
          <w:rFonts w:ascii="Open Sans" w:hAnsi="Open Sans" w:cs="Open Sans"/>
          <w:b/>
          <w:bCs/>
          <w:sz w:val="22"/>
          <w:szCs w:val="22"/>
        </w:rPr>
      </w:pPr>
      <w:r w:rsidRPr="0066113E">
        <w:rPr>
          <w:rFonts w:ascii="Open Sans" w:hAnsi="Open Sans" w:cs="Open Sans"/>
          <w:b/>
          <w:bCs/>
          <w:sz w:val="22"/>
          <w:szCs w:val="22"/>
        </w:rPr>
        <w:t>Valorización de productos no vendidos o sin recorrido comercial: </w:t>
      </w:r>
    </w:p>
    <w:p w14:paraId="1C5EA9AB" w14:textId="77777777" w:rsidR="0066113E" w:rsidRPr="0066113E" w:rsidRDefault="0066113E" w:rsidP="0066113E">
      <w:pPr>
        <w:numPr>
          <w:ilvl w:val="1"/>
          <w:numId w:val="11"/>
        </w:numPr>
        <w:spacing w:after="0"/>
        <w:jc w:val="both"/>
        <w:rPr>
          <w:rFonts w:ascii="Open Sans" w:hAnsi="Open Sans" w:cs="Open Sans"/>
          <w:sz w:val="22"/>
          <w:szCs w:val="22"/>
        </w:rPr>
      </w:pPr>
      <w:r w:rsidRPr="0066113E">
        <w:rPr>
          <w:rFonts w:ascii="Open Sans" w:hAnsi="Open Sans" w:cs="Open Sans"/>
          <w:sz w:val="22"/>
          <w:szCs w:val="22"/>
        </w:rPr>
        <w:t>Aplicación de descuentos en productos próximos a caducar para incentivar su compra y evitar su desperdicio. </w:t>
      </w:r>
    </w:p>
    <w:p w14:paraId="769FC1CF" w14:textId="77777777" w:rsidR="0066113E" w:rsidRPr="0066113E" w:rsidRDefault="0066113E" w:rsidP="0066113E">
      <w:pPr>
        <w:numPr>
          <w:ilvl w:val="1"/>
          <w:numId w:val="11"/>
        </w:numPr>
        <w:spacing w:after="0"/>
        <w:jc w:val="both"/>
        <w:rPr>
          <w:rFonts w:ascii="Open Sans" w:hAnsi="Open Sans" w:cs="Open Sans"/>
          <w:sz w:val="22"/>
          <w:szCs w:val="22"/>
        </w:rPr>
      </w:pPr>
      <w:r w:rsidRPr="0066113E">
        <w:rPr>
          <w:rFonts w:ascii="Open Sans" w:hAnsi="Open Sans" w:cs="Open Sans"/>
          <w:sz w:val="22"/>
          <w:szCs w:val="22"/>
        </w:rPr>
        <w:t>Donaciones seguras y trazables que garanticen que los excedentes lleguen a personas que los necesitan, sin comprometer la seguridad alimentaria.</w:t>
      </w:r>
    </w:p>
    <w:p w14:paraId="69DB2758" w14:textId="21BAE044" w:rsidR="0066113E" w:rsidRPr="0066113E" w:rsidRDefault="0066113E" w:rsidP="0066113E">
      <w:pPr>
        <w:numPr>
          <w:ilvl w:val="1"/>
          <w:numId w:val="11"/>
        </w:numPr>
        <w:spacing w:after="0"/>
        <w:jc w:val="both"/>
        <w:rPr>
          <w:rFonts w:ascii="Open Sans" w:hAnsi="Open Sans" w:cs="Open Sans"/>
          <w:sz w:val="22"/>
          <w:szCs w:val="22"/>
        </w:rPr>
      </w:pPr>
      <w:r w:rsidRPr="0066113E">
        <w:rPr>
          <w:rFonts w:ascii="Open Sans" w:hAnsi="Open Sans" w:cs="Open Sans"/>
          <w:sz w:val="22"/>
          <w:szCs w:val="22"/>
        </w:rPr>
        <w:t>Donación para consumo animal de todo</w:t>
      </w:r>
      <w:r w:rsidR="00A8170B">
        <w:rPr>
          <w:rFonts w:ascii="Open Sans" w:hAnsi="Open Sans" w:cs="Open Sans"/>
          <w:sz w:val="22"/>
          <w:szCs w:val="22"/>
        </w:rPr>
        <w:t>s</w:t>
      </w:r>
      <w:r w:rsidRPr="0066113E">
        <w:rPr>
          <w:rFonts w:ascii="Open Sans" w:hAnsi="Open Sans" w:cs="Open Sans"/>
          <w:sz w:val="22"/>
          <w:szCs w:val="22"/>
        </w:rPr>
        <w:t xml:space="preserve"> los productos que no se puedan destinar a consumo humano. </w:t>
      </w:r>
    </w:p>
    <w:p w14:paraId="178152A2" w14:textId="6144EDCA" w:rsidR="0066113E" w:rsidRPr="0066113E" w:rsidRDefault="0066113E" w:rsidP="0066113E">
      <w:pPr>
        <w:spacing w:after="0"/>
        <w:jc w:val="both"/>
        <w:rPr>
          <w:rFonts w:ascii="Open Sans" w:hAnsi="Open Sans" w:cs="Open Sans"/>
          <w:sz w:val="22"/>
          <w:szCs w:val="22"/>
        </w:rPr>
      </w:pPr>
    </w:p>
    <w:p w14:paraId="574BC766" w14:textId="2C635A77" w:rsidR="0066113E" w:rsidRPr="0066113E" w:rsidRDefault="0066113E" w:rsidP="0066113E">
      <w:pPr>
        <w:numPr>
          <w:ilvl w:val="0"/>
          <w:numId w:val="12"/>
        </w:numPr>
        <w:spacing w:after="0"/>
        <w:jc w:val="both"/>
        <w:rPr>
          <w:rFonts w:ascii="Open Sans" w:hAnsi="Open Sans" w:cs="Open Sans"/>
          <w:sz w:val="22"/>
          <w:szCs w:val="22"/>
        </w:rPr>
      </w:pPr>
      <w:r w:rsidRPr="0066113E">
        <w:rPr>
          <w:rFonts w:ascii="Open Sans" w:hAnsi="Open Sans" w:cs="Open Sans"/>
          <w:b/>
          <w:bCs/>
          <w:sz w:val="22"/>
          <w:szCs w:val="22"/>
        </w:rPr>
        <w:t xml:space="preserve">Formación especializada del personal </w:t>
      </w:r>
      <w:r w:rsidRPr="0066113E">
        <w:rPr>
          <w:rFonts w:ascii="Open Sans" w:hAnsi="Open Sans" w:cs="Open Sans"/>
          <w:sz w:val="22"/>
          <w:szCs w:val="22"/>
        </w:rPr>
        <w:t>en gestión de mermas y prevención del desperdicio.</w:t>
      </w:r>
      <w:r w:rsidRPr="0066113E">
        <w:rPr>
          <w:rFonts w:ascii="Open Sans" w:hAnsi="Open Sans" w:cs="Open Sans"/>
          <w:sz w:val="22"/>
          <w:szCs w:val="22"/>
        </w:rPr>
        <w:br/>
      </w:r>
    </w:p>
    <w:p w14:paraId="112D76E3" w14:textId="0F547EB2" w:rsidR="0066113E" w:rsidRPr="0066113E" w:rsidRDefault="0066113E" w:rsidP="0066113E">
      <w:pPr>
        <w:numPr>
          <w:ilvl w:val="0"/>
          <w:numId w:val="12"/>
        </w:numPr>
        <w:spacing w:after="0"/>
        <w:jc w:val="both"/>
        <w:rPr>
          <w:rFonts w:ascii="Open Sans" w:hAnsi="Open Sans" w:cs="Open Sans"/>
          <w:sz w:val="22"/>
          <w:szCs w:val="22"/>
        </w:rPr>
      </w:pPr>
      <w:r w:rsidRPr="0066113E">
        <w:rPr>
          <w:rFonts w:ascii="Open Sans" w:hAnsi="Open Sans" w:cs="Open Sans"/>
          <w:b/>
          <w:bCs/>
          <w:sz w:val="22"/>
          <w:szCs w:val="22"/>
        </w:rPr>
        <w:t>Medición y comunicación transparente</w:t>
      </w:r>
      <w:r w:rsidRPr="0066113E">
        <w:rPr>
          <w:rFonts w:ascii="Open Sans" w:hAnsi="Open Sans" w:cs="Open Sans"/>
          <w:sz w:val="22"/>
          <w:szCs w:val="22"/>
        </w:rPr>
        <w:t xml:space="preserve"> del impacto de las acciones implementadas, para generar confianza y reforzar el compromiso social.</w:t>
      </w:r>
      <w:r w:rsidRPr="0066113E">
        <w:rPr>
          <w:rFonts w:ascii="Open Sans" w:hAnsi="Open Sans" w:cs="Open Sans"/>
          <w:sz w:val="22"/>
          <w:szCs w:val="22"/>
        </w:rPr>
        <w:br/>
      </w:r>
    </w:p>
    <w:p w14:paraId="1836AC59" w14:textId="77777777" w:rsidR="0066113E" w:rsidRPr="0066113E" w:rsidRDefault="0066113E" w:rsidP="0066113E">
      <w:pPr>
        <w:numPr>
          <w:ilvl w:val="0"/>
          <w:numId w:val="12"/>
        </w:numPr>
        <w:spacing w:after="0"/>
        <w:jc w:val="both"/>
        <w:rPr>
          <w:rFonts w:ascii="Open Sans" w:hAnsi="Open Sans" w:cs="Open Sans"/>
          <w:sz w:val="22"/>
          <w:szCs w:val="22"/>
        </w:rPr>
      </w:pPr>
      <w:r w:rsidRPr="0066113E">
        <w:rPr>
          <w:rFonts w:ascii="Open Sans" w:hAnsi="Open Sans" w:cs="Open Sans"/>
          <w:b/>
          <w:bCs/>
          <w:sz w:val="22"/>
          <w:szCs w:val="22"/>
        </w:rPr>
        <w:t xml:space="preserve">Promoción de hábitos de consumo responsables </w:t>
      </w:r>
      <w:r w:rsidRPr="0066113E">
        <w:rPr>
          <w:rFonts w:ascii="Open Sans" w:hAnsi="Open Sans" w:cs="Open Sans"/>
          <w:sz w:val="22"/>
          <w:szCs w:val="22"/>
        </w:rPr>
        <w:t>entre los clientes, mediante información clara, accesible y pedagógica en el punto de venta.</w:t>
      </w:r>
    </w:p>
    <w:p w14:paraId="5B77CEA9" w14:textId="77777777" w:rsidR="0066113E" w:rsidRDefault="0066113E" w:rsidP="0066113E">
      <w:pPr>
        <w:spacing w:after="0"/>
        <w:jc w:val="both"/>
        <w:rPr>
          <w:rFonts w:ascii="Open Sans" w:hAnsi="Open Sans" w:cs="Open Sans"/>
          <w:sz w:val="22"/>
          <w:szCs w:val="22"/>
        </w:rPr>
      </w:pPr>
    </w:p>
    <w:p w14:paraId="30271DF0" w14:textId="7A925946" w:rsidR="0066113E" w:rsidRPr="0066113E" w:rsidRDefault="0066113E" w:rsidP="0066113E">
      <w:pPr>
        <w:spacing w:after="0"/>
        <w:jc w:val="both"/>
        <w:rPr>
          <w:rFonts w:ascii="Open Sans" w:hAnsi="Open Sans" w:cs="Open Sans"/>
          <w:sz w:val="22"/>
          <w:szCs w:val="22"/>
        </w:rPr>
      </w:pPr>
      <w:r w:rsidRPr="0066113E">
        <w:rPr>
          <w:rFonts w:ascii="Open Sans" w:hAnsi="Open Sans" w:cs="Open Sans"/>
          <w:sz w:val="22"/>
          <w:szCs w:val="22"/>
        </w:rPr>
        <w:t xml:space="preserve">En el contexto de los supermercados, este enfoque promueve acciones concretas para reducir el desperdicio de alimentos, como una mejor </w:t>
      </w:r>
      <w:r w:rsidRPr="0066113E">
        <w:rPr>
          <w:rFonts w:ascii="Open Sans" w:hAnsi="Open Sans" w:cs="Open Sans"/>
          <w:b/>
          <w:bCs/>
          <w:sz w:val="22"/>
          <w:szCs w:val="22"/>
        </w:rPr>
        <w:t>gestión del inventario</w:t>
      </w:r>
      <w:r w:rsidRPr="0066113E">
        <w:rPr>
          <w:rFonts w:ascii="Open Sans" w:hAnsi="Open Sans" w:cs="Open Sans"/>
          <w:sz w:val="22"/>
          <w:szCs w:val="22"/>
        </w:rPr>
        <w:t xml:space="preserve">, la </w:t>
      </w:r>
      <w:r w:rsidRPr="0066113E">
        <w:rPr>
          <w:rFonts w:ascii="Open Sans" w:hAnsi="Open Sans" w:cs="Open Sans"/>
          <w:b/>
          <w:bCs/>
          <w:sz w:val="22"/>
          <w:szCs w:val="22"/>
        </w:rPr>
        <w:t>venta de productos con defectos estéticos</w:t>
      </w:r>
      <w:r w:rsidRPr="0066113E">
        <w:rPr>
          <w:rFonts w:ascii="Open Sans" w:hAnsi="Open Sans" w:cs="Open Sans"/>
          <w:sz w:val="22"/>
          <w:szCs w:val="22"/>
        </w:rPr>
        <w:t xml:space="preserve">, pero en perfecto estado, la </w:t>
      </w:r>
      <w:r w:rsidRPr="0066113E">
        <w:rPr>
          <w:rFonts w:ascii="Open Sans" w:hAnsi="Open Sans" w:cs="Open Sans"/>
          <w:b/>
          <w:bCs/>
          <w:sz w:val="22"/>
          <w:szCs w:val="22"/>
        </w:rPr>
        <w:t>colaboración con iniciativas de redistribución de excedentes</w:t>
      </w:r>
      <w:r w:rsidRPr="0066113E">
        <w:rPr>
          <w:rFonts w:ascii="Open Sans" w:hAnsi="Open Sans" w:cs="Open Sans"/>
          <w:sz w:val="22"/>
          <w:szCs w:val="22"/>
        </w:rPr>
        <w:t xml:space="preserve"> y la </w:t>
      </w:r>
      <w:r w:rsidRPr="0066113E">
        <w:rPr>
          <w:rFonts w:ascii="Open Sans" w:hAnsi="Open Sans" w:cs="Open Sans"/>
          <w:b/>
          <w:bCs/>
          <w:sz w:val="22"/>
          <w:szCs w:val="22"/>
        </w:rPr>
        <w:t>sensibilización del consumidor</w:t>
      </w:r>
      <w:r w:rsidRPr="0066113E">
        <w:rPr>
          <w:rFonts w:ascii="Open Sans" w:hAnsi="Open Sans" w:cs="Open Sans"/>
          <w:sz w:val="22"/>
          <w:szCs w:val="22"/>
        </w:rPr>
        <w:t xml:space="preserve">. Así, </w:t>
      </w:r>
      <w:r w:rsidRPr="00A8170B">
        <w:rPr>
          <w:rFonts w:ascii="Open Sans" w:hAnsi="Open Sans" w:cs="Open Sans"/>
          <w:b/>
          <w:bCs/>
          <w:sz w:val="22"/>
          <w:szCs w:val="22"/>
        </w:rPr>
        <w:t>ap</w:t>
      </w:r>
      <w:r w:rsidRPr="0066113E">
        <w:rPr>
          <w:rFonts w:ascii="Open Sans" w:hAnsi="Open Sans" w:cs="Open Sans"/>
          <w:b/>
          <w:bCs/>
          <w:sz w:val="22"/>
          <w:szCs w:val="22"/>
        </w:rPr>
        <w:t xml:space="preserve">licar principios de gastronomía sostenible en estos puntos de venta </w:t>
      </w:r>
      <w:r w:rsidRPr="0066113E">
        <w:rPr>
          <w:rFonts w:ascii="Open Sans" w:hAnsi="Open Sans" w:cs="Open Sans"/>
          <w:sz w:val="22"/>
          <w:szCs w:val="22"/>
        </w:rPr>
        <w:t xml:space="preserve">no solo ayuda a disminuir el volumen de alimentos descartados, sino que también </w:t>
      </w:r>
      <w:r w:rsidRPr="0066113E">
        <w:rPr>
          <w:rFonts w:ascii="Open Sans" w:hAnsi="Open Sans" w:cs="Open Sans"/>
          <w:b/>
          <w:bCs/>
          <w:sz w:val="22"/>
          <w:szCs w:val="22"/>
        </w:rPr>
        <w:t>contribuye a un sistema alimentario más eficiente, ético y respetuoso con el medio ambiente</w:t>
      </w:r>
      <w:r w:rsidRPr="0066113E">
        <w:rPr>
          <w:rFonts w:ascii="Open Sans" w:hAnsi="Open Sans" w:cs="Open Sans"/>
          <w:sz w:val="22"/>
          <w:szCs w:val="22"/>
        </w:rPr>
        <w:t>.</w:t>
      </w:r>
    </w:p>
    <w:p w14:paraId="331F213A" w14:textId="77777777" w:rsidR="0066113E" w:rsidRDefault="0066113E" w:rsidP="0066113E">
      <w:pPr>
        <w:spacing w:after="0"/>
        <w:jc w:val="both"/>
        <w:rPr>
          <w:rFonts w:ascii="Open Sans" w:hAnsi="Open Sans" w:cs="Open Sans"/>
          <w:i/>
          <w:iCs/>
          <w:sz w:val="22"/>
          <w:szCs w:val="22"/>
        </w:rPr>
      </w:pPr>
    </w:p>
    <w:p w14:paraId="2AA67F42" w14:textId="1E6B2418" w:rsidR="00D242C0" w:rsidRDefault="0066113E" w:rsidP="0066113E">
      <w:pPr>
        <w:spacing w:after="0"/>
        <w:jc w:val="both"/>
        <w:rPr>
          <w:rFonts w:ascii="Open Sans" w:hAnsi="Open Sans" w:cs="Open Sans"/>
          <w:sz w:val="22"/>
          <w:szCs w:val="22"/>
        </w:rPr>
      </w:pPr>
      <w:r w:rsidRPr="0066113E">
        <w:rPr>
          <w:rFonts w:ascii="Open Sans" w:hAnsi="Open Sans" w:cs="Open Sans"/>
          <w:i/>
          <w:iCs/>
          <w:sz w:val="22"/>
          <w:szCs w:val="22"/>
        </w:rPr>
        <w:t xml:space="preserve">“La lucha contra el desperdicio alimentario en el supermercado es una pieza clave para que nuestras cocinas sean realmente sostenibles. No se trata solo de elegir bien los ingredientes, sino de garantizar que lleguen y se aprovechen, reduciendo la huella </w:t>
      </w:r>
      <w:r w:rsidRPr="0066113E">
        <w:rPr>
          <w:rFonts w:ascii="Open Sans" w:hAnsi="Open Sans" w:cs="Open Sans"/>
          <w:i/>
          <w:iCs/>
          <w:sz w:val="22"/>
          <w:szCs w:val="22"/>
        </w:rPr>
        <w:lastRenderedPageBreak/>
        <w:t>ambiental y generando un impacto positivo para toda la sociedad”,</w:t>
      </w:r>
      <w:r w:rsidRPr="0066113E">
        <w:rPr>
          <w:rFonts w:ascii="Open Sans" w:hAnsi="Open Sans" w:cs="Open Sans"/>
          <w:sz w:val="22"/>
          <w:szCs w:val="22"/>
        </w:rPr>
        <w:t xml:space="preserve"> concluye </w:t>
      </w:r>
      <w:r w:rsidRPr="0066113E">
        <w:rPr>
          <w:rFonts w:ascii="Open Sans" w:hAnsi="Open Sans" w:cs="Open Sans"/>
          <w:b/>
          <w:bCs/>
          <w:sz w:val="22"/>
          <w:szCs w:val="22"/>
        </w:rPr>
        <w:t xml:space="preserve">Pauline </w:t>
      </w:r>
      <w:proofErr w:type="spellStart"/>
      <w:r w:rsidRPr="0066113E">
        <w:rPr>
          <w:rFonts w:ascii="Open Sans" w:hAnsi="Open Sans" w:cs="Open Sans"/>
          <w:b/>
          <w:bCs/>
          <w:sz w:val="22"/>
          <w:szCs w:val="22"/>
        </w:rPr>
        <w:t>Bertin</w:t>
      </w:r>
      <w:proofErr w:type="spellEnd"/>
      <w:r w:rsidRPr="0066113E">
        <w:rPr>
          <w:rFonts w:ascii="Open Sans" w:hAnsi="Open Sans" w:cs="Open Sans"/>
          <w:b/>
          <w:bCs/>
          <w:sz w:val="22"/>
          <w:szCs w:val="22"/>
        </w:rPr>
        <w:t xml:space="preserve">, </w:t>
      </w:r>
      <w:proofErr w:type="spellStart"/>
      <w:r w:rsidRPr="0066113E">
        <w:rPr>
          <w:rFonts w:ascii="Open Sans" w:hAnsi="Open Sans" w:cs="Open Sans"/>
          <w:b/>
          <w:bCs/>
          <w:sz w:val="22"/>
          <w:szCs w:val="22"/>
        </w:rPr>
        <w:t>Chief</w:t>
      </w:r>
      <w:proofErr w:type="spellEnd"/>
      <w:r w:rsidRPr="0066113E">
        <w:rPr>
          <w:rFonts w:ascii="Open Sans" w:hAnsi="Open Sans" w:cs="Open Sans"/>
          <w:b/>
          <w:bCs/>
          <w:sz w:val="22"/>
          <w:szCs w:val="22"/>
        </w:rPr>
        <w:t xml:space="preserve"> Sales </w:t>
      </w:r>
      <w:proofErr w:type="spellStart"/>
      <w:r w:rsidRPr="0066113E">
        <w:rPr>
          <w:rFonts w:ascii="Open Sans" w:hAnsi="Open Sans" w:cs="Open Sans"/>
          <w:b/>
          <w:bCs/>
          <w:sz w:val="22"/>
          <w:szCs w:val="22"/>
        </w:rPr>
        <w:t>Officer</w:t>
      </w:r>
      <w:proofErr w:type="spellEnd"/>
      <w:r w:rsidRPr="0066113E">
        <w:rPr>
          <w:rFonts w:ascii="Open Sans" w:hAnsi="Open Sans" w:cs="Open Sans"/>
          <w:b/>
          <w:bCs/>
          <w:sz w:val="22"/>
          <w:szCs w:val="22"/>
        </w:rPr>
        <w:t xml:space="preserve"> de Phenix.</w:t>
      </w:r>
    </w:p>
    <w:p w14:paraId="1FEB0E2B" w14:textId="60844F51" w:rsidR="00D242C0" w:rsidRDefault="00A8170B" w:rsidP="00D242C0">
      <w:pPr>
        <w:jc w:val="center"/>
        <w:rPr>
          <w:rFonts w:ascii="Open Sans" w:eastAsia="Open Sans" w:hAnsi="Open Sans" w:cs="Open Sans"/>
          <w:color w:val="000000"/>
          <w:sz w:val="22"/>
          <w:szCs w:val="22"/>
        </w:rPr>
      </w:pPr>
      <w:r>
        <w:pict w14:anchorId="244A8125">
          <v:rect id="_x0000_i1025" style="width:0;height:1.5pt" o:hralign="center" o:hrstd="t" o:hr="t" fillcolor="#a0a0a0" stroked="f"/>
        </w:pict>
      </w:r>
    </w:p>
    <w:p w14:paraId="178B41D8" w14:textId="77777777" w:rsidR="00D242C0" w:rsidRDefault="00D242C0" w:rsidP="00D242C0">
      <w:pPr>
        <w:jc w:val="center"/>
        <w:rPr>
          <w:rFonts w:ascii="Open Sans" w:eastAsia="Open Sans" w:hAnsi="Open Sans" w:cs="Open Sans"/>
          <w:sz w:val="22"/>
          <w:szCs w:val="22"/>
        </w:rPr>
      </w:pPr>
      <w:r>
        <w:rPr>
          <w:rFonts w:ascii="Open Sans" w:eastAsia="Open Sans" w:hAnsi="Open Sans" w:cs="Open Sans"/>
          <w:sz w:val="22"/>
          <w:szCs w:val="22"/>
        </w:rPr>
        <w:t>***</w:t>
      </w:r>
    </w:p>
    <w:p w14:paraId="5469B41D" w14:textId="77777777" w:rsidR="00D242C0" w:rsidRDefault="00D242C0" w:rsidP="00D242C0">
      <w:pPr>
        <w:rPr>
          <w:rFonts w:ascii="Open Sans" w:eastAsia="Open Sans" w:hAnsi="Open Sans" w:cs="Open Sans"/>
          <w:sz w:val="22"/>
          <w:szCs w:val="22"/>
        </w:rPr>
      </w:pPr>
      <w:r>
        <w:rPr>
          <w:rFonts w:ascii="Calibri" w:eastAsia="Calibri" w:hAnsi="Calibri" w:cs="Calibri"/>
          <w:b/>
          <w:sz w:val="18"/>
          <w:szCs w:val="18"/>
        </w:rPr>
        <w:t>Sobre Phenix</w:t>
      </w:r>
    </w:p>
    <w:p w14:paraId="762FA2A9" w14:textId="77777777" w:rsidR="00D242C0" w:rsidRDefault="00D242C0" w:rsidP="00D242C0">
      <w:pPr>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Phenix es una empresa especializada en maximizar el valor del excedente en el sector alimentario en España. A través de una gestión eficiente, ayuda a las empresas a convertir el excedente en una fuente de rentabilidad, mientras reduce significativamente el desperdicio alimentario y fomenta un impacto positivo en la sociedad y el medio ambiente. Nació en el 2014, en Francia, con una misión muy clara: reducir el desperdicio alimentario, un problema con un grave impacto económico, social y medioambiental a nivel mundial. Actualmente, es líder en el mercado francés y está en plena consolidación en España y Portugal. La empresa cuenta con más de 200 empleados en total. Phenix está certificada como B </w:t>
      </w:r>
      <w:proofErr w:type="spellStart"/>
      <w:r>
        <w:rPr>
          <w:rFonts w:ascii="Century Gothic" w:eastAsia="Century Gothic" w:hAnsi="Century Gothic" w:cs="Century Gothic"/>
          <w:i/>
          <w:sz w:val="16"/>
          <w:szCs w:val="16"/>
        </w:rPr>
        <w:t>Corporation</w:t>
      </w:r>
      <w:proofErr w:type="spellEnd"/>
      <w:r>
        <w:rPr>
          <w:rFonts w:ascii="Century Gothic" w:eastAsia="Century Gothic" w:hAnsi="Century Gothic" w:cs="Century Gothic"/>
          <w:i/>
          <w:sz w:val="16"/>
          <w:szCs w:val="16"/>
        </w:rPr>
        <w:t>, mostrando su compromiso con la sociedad y el medioambiente.</w:t>
      </w:r>
    </w:p>
    <w:p w14:paraId="1C801D57" w14:textId="77777777" w:rsidR="00D242C0" w:rsidRPr="001500AD" w:rsidRDefault="00D242C0" w:rsidP="00D242C0">
      <w:pPr>
        <w:spacing w:after="0" w:line="240" w:lineRule="auto"/>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Para más información: https://www.wearephenix.com/es/</w:t>
      </w:r>
    </w:p>
    <w:p w14:paraId="79F25477" w14:textId="77777777" w:rsidR="00D242C0" w:rsidRDefault="00D242C0" w:rsidP="00D242C0">
      <w:pPr>
        <w:spacing w:after="0" w:line="240" w:lineRule="auto"/>
        <w:jc w:val="right"/>
        <w:rPr>
          <w:rFonts w:ascii="Calibri" w:eastAsia="Calibri" w:hAnsi="Calibri" w:cs="Calibri"/>
          <w:b/>
          <w:sz w:val="20"/>
          <w:szCs w:val="20"/>
        </w:rPr>
      </w:pPr>
      <w:r>
        <w:rPr>
          <w:rFonts w:ascii="Calibri" w:eastAsia="Calibri" w:hAnsi="Calibri" w:cs="Calibri"/>
          <w:b/>
          <w:sz w:val="20"/>
          <w:szCs w:val="20"/>
        </w:rPr>
        <w:t>Contacto para la prensa:</w:t>
      </w:r>
    </w:p>
    <w:p w14:paraId="609F4C78" w14:textId="77777777" w:rsidR="00D242C0" w:rsidRDefault="00D242C0" w:rsidP="00D242C0">
      <w:pPr>
        <w:jc w:val="center"/>
        <w:rPr>
          <w:rFonts w:ascii="Open Sans" w:eastAsia="Open Sans" w:hAnsi="Open Sans" w:cs="Open Sans"/>
          <w:sz w:val="22"/>
          <w:szCs w:val="22"/>
        </w:rPr>
      </w:pPr>
    </w:p>
    <w:p w14:paraId="5A457F85" w14:textId="77777777" w:rsidR="00D242C0" w:rsidRDefault="00D242C0" w:rsidP="00D242C0">
      <w:pPr>
        <w:spacing w:after="0" w:line="240" w:lineRule="auto"/>
        <w:jc w:val="right"/>
        <w:rPr>
          <w:rFonts w:ascii="Calibri" w:eastAsia="Calibri" w:hAnsi="Calibri" w:cs="Calibri"/>
          <w:b/>
          <w:sz w:val="20"/>
          <w:szCs w:val="20"/>
        </w:rPr>
      </w:pPr>
      <w:r>
        <w:rPr>
          <w:rFonts w:ascii="Calibri" w:eastAsia="Calibri" w:hAnsi="Calibri" w:cs="Calibri"/>
          <w:b/>
          <w:sz w:val="20"/>
          <w:szCs w:val="20"/>
        </w:rPr>
        <w:t xml:space="preserve">Marina Gascón Martínez de Quel </w:t>
      </w:r>
    </w:p>
    <w:p w14:paraId="3739E8AF" w14:textId="77777777" w:rsidR="00D242C0" w:rsidRDefault="00D242C0" w:rsidP="00D242C0">
      <w:pPr>
        <w:spacing w:after="0" w:line="240" w:lineRule="auto"/>
        <w:jc w:val="right"/>
        <w:rPr>
          <w:rFonts w:ascii="Calibri" w:eastAsia="Calibri" w:hAnsi="Calibri" w:cs="Calibri"/>
          <w:sz w:val="20"/>
          <w:szCs w:val="20"/>
        </w:rPr>
      </w:pPr>
      <w:r>
        <w:rPr>
          <w:rFonts w:ascii="Calibri" w:eastAsia="Calibri" w:hAnsi="Calibri" w:cs="Calibri"/>
          <w:sz w:val="20"/>
          <w:szCs w:val="20"/>
        </w:rPr>
        <w:t xml:space="preserve">marina.gascon@newlink-group.com </w:t>
      </w:r>
    </w:p>
    <w:p w14:paraId="43A05379" w14:textId="77777777" w:rsidR="00D242C0" w:rsidRDefault="00D242C0" w:rsidP="00D242C0">
      <w:pPr>
        <w:spacing w:after="0" w:line="240" w:lineRule="auto"/>
        <w:jc w:val="right"/>
        <w:rPr>
          <w:rFonts w:ascii="Calibri" w:eastAsia="Calibri" w:hAnsi="Calibri" w:cs="Calibri"/>
          <w:sz w:val="20"/>
          <w:szCs w:val="20"/>
        </w:rPr>
      </w:pPr>
      <w:r>
        <w:rPr>
          <w:rFonts w:ascii="Calibri" w:eastAsia="Calibri" w:hAnsi="Calibri" w:cs="Calibri"/>
          <w:sz w:val="20"/>
          <w:szCs w:val="20"/>
        </w:rPr>
        <w:t xml:space="preserve">+ 34 651 963 459 </w:t>
      </w:r>
    </w:p>
    <w:p w14:paraId="78AF10E3" w14:textId="77777777" w:rsidR="00D242C0" w:rsidRDefault="00D242C0" w:rsidP="00D242C0">
      <w:pPr>
        <w:spacing w:after="0" w:line="240" w:lineRule="auto"/>
        <w:jc w:val="right"/>
        <w:rPr>
          <w:rFonts w:ascii="Calibri" w:eastAsia="Calibri" w:hAnsi="Calibri" w:cs="Calibri"/>
          <w:b/>
          <w:sz w:val="20"/>
          <w:szCs w:val="20"/>
        </w:rPr>
      </w:pPr>
    </w:p>
    <w:p w14:paraId="6F27BCB0" w14:textId="77777777" w:rsidR="00D242C0" w:rsidRDefault="00D242C0" w:rsidP="00D242C0">
      <w:pPr>
        <w:spacing w:after="0" w:line="240" w:lineRule="auto"/>
        <w:jc w:val="right"/>
        <w:rPr>
          <w:rFonts w:ascii="Calibri" w:eastAsia="Calibri" w:hAnsi="Calibri" w:cs="Calibri"/>
          <w:b/>
          <w:sz w:val="20"/>
          <w:szCs w:val="20"/>
        </w:rPr>
      </w:pPr>
      <w:r>
        <w:rPr>
          <w:rFonts w:ascii="Calibri" w:eastAsia="Calibri" w:hAnsi="Calibri" w:cs="Calibri"/>
          <w:b/>
          <w:sz w:val="20"/>
          <w:szCs w:val="20"/>
        </w:rPr>
        <w:t>María Sánchez-Girón</w:t>
      </w:r>
    </w:p>
    <w:p w14:paraId="627E9F40" w14:textId="77777777" w:rsidR="00D242C0" w:rsidRDefault="00D242C0" w:rsidP="00D242C0">
      <w:pPr>
        <w:spacing w:after="0" w:line="240" w:lineRule="auto"/>
        <w:jc w:val="right"/>
        <w:rPr>
          <w:rFonts w:ascii="Calibri" w:eastAsia="Calibri" w:hAnsi="Calibri" w:cs="Calibri"/>
          <w:sz w:val="20"/>
          <w:szCs w:val="20"/>
        </w:rPr>
      </w:pPr>
      <w:r>
        <w:rPr>
          <w:rFonts w:ascii="Calibri" w:eastAsia="Calibri" w:hAnsi="Calibri" w:cs="Calibri"/>
          <w:sz w:val="20"/>
          <w:szCs w:val="20"/>
        </w:rPr>
        <w:t>maria.sanchez-giron@newlink-group.com</w:t>
      </w:r>
    </w:p>
    <w:p w14:paraId="2EB04912" w14:textId="77777777" w:rsidR="00D242C0" w:rsidRPr="001567C8" w:rsidRDefault="00D242C0" w:rsidP="00D242C0">
      <w:pPr>
        <w:spacing w:after="0" w:line="240" w:lineRule="auto"/>
        <w:jc w:val="right"/>
      </w:pPr>
      <w:r>
        <w:rPr>
          <w:rFonts w:ascii="Calibri" w:eastAsia="Calibri" w:hAnsi="Calibri" w:cs="Calibri"/>
          <w:sz w:val="20"/>
          <w:szCs w:val="20"/>
        </w:rPr>
        <w:t>+34 653 125 545</w:t>
      </w:r>
    </w:p>
    <w:p w14:paraId="555BE018" w14:textId="77777777" w:rsidR="001F172C" w:rsidRDefault="001F172C"/>
    <w:sectPr w:rsidR="001F172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B71E" w14:textId="77777777" w:rsidR="00FD1AE1" w:rsidRDefault="00FD1AE1" w:rsidP="00FD1AE1">
      <w:pPr>
        <w:spacing w:after="0" w:line="240" w:lineRule="auto"/>
      </w:pPr>
      <w:r>
        <w:separator/>
      </w:r>
    </w:p>
  </w:endnote>
  <w:endnote w:type="continuationSeparator" w:id="0">
    <w:p w14:paraId="6D1B154C" w14:textId="77777777" w:rsidR="00FD1AE1" w:rsidRDefault="00FD1AE1" w:rsidP="00FD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D3C1" w14:textId="77777777" w:rsidR="00FD1AE1" w:rsidRDefault="00FD1AE1" w:rsidP="00FD1AE1">
      <w:pPr>
        <w:spacing w:after="0" w:line="240" w:lineRule="auto"/>
      </w:pPr>
      <w:r>
        <w:separator/>
      </w:r>
    </w:p>
  </w:footnote>
  <w:footnote w:type="continuationSeparator" w:id="0">
    <w:p w14:paraId="53E571A6" w14:textId="77777777" w:rsidR="00FD1AE1" w:rsidRDefault="00FD1AE1" w:rsidP="00FD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F9B0" w14:textId="4CC32752" w:rsidR="00FD1AE1" w:rsidRDefault="00FD1AE1" w:rsidP="00FD1AE1">
    <w:pPr>
      <w:pStyle w:val="Encabezado"/>
      <w:jc w:val="center"/>
    </w:pPr>
    <w:r>
      <w:rPr>
        <w:rFonts w:ascii="Calibri" w:hAnsi="Calibri" w:cs="Calibri"/>
        <w:noProof/>
        <w:color w:val="000000"/>
        <w:sz w:val="22"/>
        <w:szCs w:val="22"/>
        <w:bdr w:val="none" w:sz="0" w:space="0" w:color="auto" w:frame="1"/>
      </w:rPr>
      <w:drawing>
        <wp:inline distT="0" distB="0" distL="0" distR="0" wp14:anchorId="63C59491" wp14:editId="31CE2737">
          <wp:extent cx="1581150" cy="622300"/>
          <wp:effectExtent l="0" t="0" r="0" b="6350"/>
          <wp:docPr id="138743909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22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611"/>
    <w:multiLevelType w:val="multilevel"/>
    <w:tmpl w:val="970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268DF"/>
    <w:multiLevelType w:val="multilevel"/>
    <w:tmpl w:val="DBE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24B2E"/>
    <w:multiLevelType w:val="multilevel"/>
    <w:tmpl w:val="EC52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00978"/>
    <w:multiLevelType w:val="multilevel"/>
    <w:tmpl w:val="BDA2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95DAA"/>
    <w:multiLevelType w:val="multilevel"/>
    <w:tmpl w:val="0DE4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37E3C"/>
    <w:multiLevelType w:val="multilevel"/>
    <w:tmpl w:val="1B0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B216E"/>
    <w:multiLevelType w:val="multilevel"/>
    <w:tmpl w:val="7E1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509C9"/>
    <w:multiLevelType w:val="multilevel"/>
    <w:tmpl w:val="2B0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C28A5"/>
    <w:multiLevelType w:val="multilevel"/>
    <w:tmpl w:val="DD6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55905"/>
    <w:multiLevelType w:val="multilevel"/>
    <w:tmpl w:val="B41A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42B8B"/>
    <w:multiLevelType w:val="multilevel"/>
    <w:tmpl w:val="6428B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FC1149"/>
    <w:multiLevelType w:val="multilevel"/>
    <w:tmpl w:val="95DE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34250">
    <w:abstractNumId w:val="6"/>
  </w:num>
  <w:num w:numId="2" w16cid:durableId="1624144650">
    <w:abstractNumId w:val="8"/>
  </w:num>
  <w:num w:numId="3" w16cid:durableId="733552562">
    <w:abstractNumId w:val="11"/>
  </w:num>
  <w:num w:numId="4" w16cid:durableId="505367093">
    <w:abstractNumId w:val="2"/>
  </w:num>
  <w:num w:numId="5" w16cid:durableId="183397437">
    <w:abstractNumId w:val="1"/>
  </w:num>
  <w:num w:numId="6" w16cid:durableId="767039098">
    <w:abstractNumId w:val="0"/>
  </w:num>
  <w:num w:numId="7" w16cid:durableId="1350906387">
    <w:abstractNumId w:val="4"/>
  </w:num>
  <w:num w:numId="8" w16cid:durableId="668144896">
    <w:abstractNumId w:val="3"/>
  </w:num>
  <w:num w:numId="9" w16cid:durableId="114256391">
    <w:abstractNumId w:val="9"/>
  </w:num>
  <w:num w:numId="10" w16cid:durableId="1508248922">
    <w:abstractNumId w:val="7"/>
  </w:num>
  <w:num w:numId="11" w16cid:durableId="1375041608">
    <w:abstractNumId w:val="10"/>
  </w:num>
  <w:num w:numId="12" w16cid:durableId="1337462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AB"/>
    <w:rsid w:val="000055F4"/>
    <w:rsid w:val="001443B8"/>
    <w:rsid w:val="001F172C"/>
    <w:rsid w:val="00284D0B"/>
    <w:rsid w:val="005E1F59"/>
    <w:rsid w:val="0066113E"/>
    <w:rsid w:val="00A8170B"/>
    <w:rsid w:val="00B05EAB"/>
    <w:rsid w:val="00BA40D4"/>
    <w:rsid w:val="00D242C0"/>
    <w:rsid w:val="00D71C0C"/>
    <w:rsid w:val="00FD1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B010C"/>
  <w15:chartTrackingRefBased/>
  <w15:docId w15:val="{230A6530-322C-42E1-90B2-FD5A5580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2C0"/>
  </w:style>
  <w:style w:type="paragraph" w:styleId="Ttulo1">
    <w:name w:val="heading 1"/>
    <w:basedOn w:val="Normal"/>
    <w:next w:val="Normal"/>
    <w:link w:val="Ttulo1Car"/>
    <w:uiPriority w:val="9"/>
    <w:qFormat/>
    <w:rsid w:val="00B05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5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5E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5E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5E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5E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5E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5E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5E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5E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5E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5E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5E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5E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5E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5E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5E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5EAB"/>
    <w:rPr>
      <w:rFonts w:eastAsiaTheme="majorEastAsia" w:cstheme="majorBidi"/>
      <w:color w:val="272727" w:themeColor="text1" w:themeTint="D8"/>
    </w:rPr>
  </w:style>
  <w:style w:type="paragraph" w:styleId="Ttulo">
    <w:name w:val="Title"/>
    <w:basedOn w:val="Normal"/>
    <w:next w:val="Normal"/>
    <w:link w:val="TtuloCar"/>
    <w:uiPriority w:val="10"/>
    <w:qFormat/>
    <w:rsid w:val="00B05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5E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5E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5E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5EAB"/>
    <w:pPr>
      <w:spacing w:before="160"/>
      <w:jc w:val="center"/>
    </w:pPr>
    <w:rPr>
      <w:i/>
      <w:iCs/>
      <w:color w:val="404040" w:themeColor="text1" w:themeTint="BF"/>
    </w:rPr>
  </w:style>
  <w:style w:type="character" w:customStyle="1" w:styleId="CitaCar">
    <w:name w:val="Cita Car"/>
    <w:basedOn w:val="Fuentedeprrafopredeter"/>
    <w:link w:val="Cita"/>
    <w:uiPriority w:val="29"/>
    <w:rsid w:val="00B05EAB"/>
    <w:rPr>
      <w:i/>
      <w:iCs/>
      <w:color w:val="404040" w:themeColor="text1" w:themeTint="BF"/>
    </w:rPr>
  </w:style>
  <w:style w:type="paragraph" w:styleId="Prrafodelista">
    <w:name w:val="List Paragraph"/>
    <w:basedOn w:val="Normal"/>
    <w:uiPriority w:val="34"/>
    <w:qFormat/>
    <w:rsid w:val="00B05EAB"/>
    <w:pPr>
      <w:ind w:left="720"/>
      <w:contextualSpacing/>
    </w:pPr>
  </w:style>
  <w:style w:type="character" w:styleId="nfasisintenso">
    <w:name w:val="Intense Emphasis"/>
    <w:basedOn w:val="Fuentedeprrafopredeter"/>
    <w:uiPriority w:val="21"/>
    <w:qFormat/>
    <w:rsid w:val="00B05EAB"/>
    <w:rPr>
      <w:i/>
      <w:iCs/>
      <w:color w:val="0F4761" w:themeColor="accent1" w:themeShade="BF"/>
    </w:rPr>
  </w:style>
  <w:style w:type="paragraph" w:styleId="Citadestacada">
    <w:name w:val="Intense Quote"/>
    <w:basedOn w:val="Normal"/>
    <w:next w:val="Normal"/>
    <w:link w:val="CitadestacadaCar"/>
    <w:uiPriority w:val="30"/>
    <w:qFormat/>
    <w:rsid w:val="00B05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5EAB"/>
    <w:rPr>
      <w:i/>
      <w:iCs/>
      <w:color w:val="0F4761" w:themeColor="accent1" w:themeShade="BF"/>
    </w:rPr>
  </w:style>
  <w:style w:type="character" w:styleId="Referenciaintensa">
    <w:name w:val="Intense Reference"/>
    <w:basedOn w:val="Fuentedeprrafopredeter"/>
    <w:uiPriority w:val="32"/>
    <w:qFormat/>
    <w:rsid w:val="00B05EAB"/>
    <w:rPr>
      <w:b/>
      <w:bCs/>
      <w:smallCaps/>
      <w:color w:val="0F4761" w:themeColor="accent1" w:themeShade="BF"/>
      <w:spacing w:val="5"/>
    </w:rPr>
  </w:style>
  <w:style w:type="paragraph" w:styleId="Encabezado">
    <w:name w:val="header"/>
    <w:basedOn w:val="Normal"/>
    <w:link w:val="EncabezadoCar"/>
    <w:uiPriority w:val="99"/>
    <w:unhideWhenUsed/>
    <w:rsid w:val="00FD1A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1AE1"/>
  </w:style>
  <w:style w:type="paragraph" w:styleId="Piedepgina">
    <w:name w:val="footer"/>
    <w:basedOn w:val="Normal"/>
    <w:link w:val="PiedepginaCar"/>
    <w:uiPriority w:val="99"/>
    <w:unhideWhenUsed/>
    <w:rsid w:val="00FD1A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1AE1"/>
  </w:style>
  <w:style w:type="character" w:styleId="Hipervnculo">
    <w:name w:val="Hyperlink"/>
    <w:basedOn w:val="Fuentedeprrafopredeter"/>
    <w:uiPriority w:val="99"/>
    <w:unhideWhenUsed/>
    <w:rsid w:val="00FD1AE1"/>
    <w:rPr>
      <w:color w:val="467886" w:themeColor="hyperlink"/>
      <w:u w:val="single"/>
    </w:rPr>
  </w:style>
  <w:style w:type="character" w:styleId="Mencinsinresolver">
    <w:name w:val="Unresolved Mention"/>
    <w:basedOn w:val="Fuentedeprrafopredeter"/>
    <w:uiPriority w:val="99"/>
    <w:semiHidden/>
    <w:unhideWhenUsed/>
    <w:rsid w:val="00FD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3813">
      <w:bodyDiv w:val="1"/>
      <w:marLeft w:val="0"/>
      <w:marRight w:val="0"/>
      <w:marTop w:val="0"/>
      <w:marBottom w:val="0"/>
      <w:divBdr>
        <w:top w:val="none" w:sz="0" w:space="0" w:color="auto"/>
        <w:left w:val="none" w:sz="0" w:space="0" w:color="auto"/>
        <w:bottom w:val="none" w:sz="0" w:space="0" w:color="auto"/>
        <w:right w:val="none" w:sz="0" w:space="0" w:color="auto"/>
      </w:divBdr>
    </w:div>
    <w:div w:id="693313171">
      <w:bodyDiv w:val="1"/>
      <w:marLeft w:val="0"/>
      <w:marRight w:val="0"/>
      <w:marTop w:val="0"/>
      <w:marBottom w:val="0"/>
      <w:divBdr>
        <w:top w:val="none" w:sz="0" w:space="0" w:color="auto"/>
        <w:left w:val="none" w:sz="0" w:space="0" w:color="auto"/>
        <w:bottom w:val="none" w:sz="0" w:space="0" w:color="auto"/>
        <w:right w:val="none" w:sz="0" w:space="0" w:color="auto"/>
      </w:divBdr>
    </w:div>
    <w:div w:id="1158381159">
      <w:bodyDiv w:val="1"/>
      <w:marLeft w:val="0"/>
      <w:marRight w:val="0"/>
      <w:marTop w:val="0"/>
      <w:marBottom w:val="0"/>
      <w:divBdr>
        <w:top w:val="none" w:sz="0" w:space="0" w:color="auto"/>
        <w:left w:val="none" w:sz="0" w:space="0" w:color="auto"/>
        <w:bottom w:val="none" w:sz="0" w:space="0" w:color="auto"/>
        <w:right w:val="none" w:sz="0" w:space="0" w:color="auto"/>
      </w:divBdr>
    </w:div>
    <w:div w:id="1185250610">
      <w:bodyDiv w:val="1"/>
      <w:marLeft w:val="0"/>
      <w:marRight w:val="0"/>
      <w:marTop w:val="0"/>
      <w:marBottom w:val="0"/>
      <w:divBdr>
        <w:top w:val="none" w:sz="0" w:space="0" w:color="auto"/>
        <w:left w:val="none" w:sz="0" w:space="0" w:color="auto"/>
        <w:bottom w:val="none" w:sz="0" w:space="0" w:color="auto"/>
        <w:right w:val="none" w:sz="0" w:space="0" w:color="auto"/>
      </w:divBdr>
    </w:div>
    <w:div w:id="1311667208">
      <w:bodyDiv w:val="1"/>
      <w:marLeft w:val="0"/>
      <w:marRight w:val="0"/>
      <w:marTop w:val="0"/>
      <w:marBottom w:val="0"/>
      <w:divBdr>
        <w:top w:val="none" w:sz="0" w:space="0" w:color="auto"/>
        <w:left w:val="none" w:sz="0" w:space="0" w:color="auto"/>
        <w:bottom w:val="none" w:sz="0" w:space="0" w:color="auto"/>
        <w:right w:val="none" w:sz="0" w:space="0" w:color="auto"/>
      </w:divBdr>
    </w:div>
    <w:div w:id="20512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arephenix.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4417</Characters>
  <Application>Microsoft Office Word</Application>
  <DocSecurity>0</DocSecurity>
  <Lines>36</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8</cp:revision>
  <dcterms:created xsi:type="dcterms:W3CDTF">2025-06-18T10:10:00Z</dcterms:created>
  <dcterms:modified xsi:type="dcterms:W3CDTF">2025-06-18T10:35:00Z</dcterms:modified>
</cp:coreProperties>
</file>