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081E" w14:textId="77777777" w:rsidR="00F233B2" w:rsidRDefault="00F233B2" w:rsidP="00F233B2">
      <w:pPr>
        <w:pBdr>
          <w:top w:val="nil"/>
          <w:left w:val="nil"/>
          <w:bottom w:val="nil"/>
          <w:right w:val="nil"/>
          <w:between w:val="nil"/>
        </w:pBdr>
        <w:spacing w:after="0"/>
        <w:ind w:left="720"/>
        <w:jc w:val="center"/>
        <w:rPr>
          <w:rFonts w:ascii="Century Gothic" w:eastAsia="Century Gothic" w:hAnsi="Century Gothic" w:cs="Century Gothic"/>
          <w:b/>
          <w:color w:val="C55911"/>
          <w:sz w:val="34"/>
          <w:szCs w:val="34"/>
        </w:rPr>
      </w:pPr>
    </w:p>
    <w:p w14:paraId="5D8A2740" w14:textId="2DD0A50F" w:rsidR="00F233B2" w:rsidRDefault="00F233B2" w:rsidP="00F233B2">
      <w:pPr>
        <w:pBdr>
          <w:top w:val="nil"/>
          <w:left w:val="nil"/>
          <w:bottom w:val="nil"/>
          <w:right w:val="nil"/>
          <w:between w:val="nil"/>
        </w:pBdr>
        <w:spacing w:after="0"/>
        <w:ind w:left="720"/>
        <w:jc w:val="center"/>
        <w:rPr>
          <w:rFonts w:ascii="Century Gothic" w:eastAsia="Century Gothic" w:hAnsi="Century Gothic" w:cs="Century Gothic"/>
          <w:b/>
          <w:color w:val="C55911"/>
          <w:sz w:val="34"/>
          <w:szCs w:val="34"/>
        </w:rPr>
      </w:pPr>
      <w:r>
        <w:rPr>
          <w:rFonts w:ascii="Century Gothic" w:eastAsia="Century Gothic" w:hAnsi="Century Gothic" w:cs="Century Gothic"/>
          <w:b/>
          <w:color w:val="C55911"/>
          <w:sz w:val="34"/>
          <w:szCs w:val="34"/>
        </w:rPr>
        <w:t xml:space="preserve">Phenix analiza los retos de la nueva Ley de Desperdicio Alimentario en una jornada organizada por </w:t>
      </w:r>
      <w:proofErr w:type="spellStart"/>
      <w:r>
        <w:rPr>
          <w:rFonts w:ascii="Century Gothic" w:eastAsia="Century Gothic" w:hAnsi="Century Gothic" w:cs="Century Gothic"/>
          <w:b/>
          <w:color w:val="C55911"/>
          <w:sz w:val="34"/>
          <w:szCs w:val="34"/>
        </w:rPr>
        <w:t>RocaJunyent</w:t>
      </w:r>
      <w:proofErr w:type="spellEnd"/>
    </w:p>
    <w:p w14:paraId="1810A68B" w14:textId="77777777" w:rsidR="00F233B2" w:rsidRDefault="00F233B2" w:rsidP="00F233B2">
      <w:pPr>
        <w:pBdr>
          <w:top w:val="nil"/>
          <w:left w:val="nil"/>
          <w:bottom w:val="nil"/>
          <w:right w:val="nil"/>
          <w:between w:val="nil"/>
        </w:pBdr>
        <w:spacing w:after="0"/>
        <w:ind w:left="720"/>
        <w:jc w:val="both"/>
        <w:rPr>
          <w:rFonts w:ascii="Century Gothic" w:eastAsia="Century Gothic" w:hAnsi="Century Gothic" w:cs="Century Gothic"/>
          <w:i/>
          <w:color w:val="000000"/>
          <w:sz w:val="22"/>
          <w:szCs w:val="22"/>
        </w:rPr>
      </w:pPr>
    </w:p>
    <w:p w14:paraId="51D1EE06" w14:textId="77777777" w:rsidR="00F233B2" w:rsidRDefault="00F233B2" w:rsidP="00F233B2">
      <w:pPr>
        <w:numPr>
          <w:ilvl w:val="0"/>
          <w:numId w:val="1"/>
        </w:numPr>
        <w:spacing w:after="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El evento ha reunido en Barcelona a representantes de AECOC, Eroski, </w:t>
      </w:r>
      <w:proofErr w:type="spellStart"/>
      <w:r>
        <w:rPr>
          <w:rFonts w:ascii="Century Gothic" w:eastAsia="Century Gothic" w:hAnsi="Century Gothic" w:cs="Century Gothic"/>
          <w:i/>
          <w:color w:val="000000"/>
          <w:sz w:val="22"/>
          <w:szCs w:val="22"/>
        </w:rPr>
        <w:t>Lactalis</w:t>
      </w:r>
      <w:proofErr w:type="spellEnd"/>
      <w:r>
        <w:rPr>
          <w:rFonts w:ascii="Century Gothic" w:eastAsia="Century Gothic" w:hAnsi="Century Gothic" w:cs="Century Gothic"/>
          <w:i/>
          <w:color w:val="000000"/>
          <w:sz w:val="22"/>
          <w:szCs w:val="22"/>
        </w:rPr>
        <w:t xml:space="preserve"> Nestlé y Grupo Tragaluz, junto a expertos jurídicos del bufete</w:t>
      </w:r>
    </w:p>
    <w:p w14:paraId="7DA5399D" w14:textId="77777777" w:rsidR="00F233B2" w:rsidRDefault="00F233B2" w:rsidP="00F233B2">
      <w:pPr>
        <w:spacing w:after="0"/>
        <w:ind w:left="720"/>
        <w:jc w:val="both"/>
        <w:rPr>
          <w:rFonts w:ascii="Century Gothic" w:eastAsia="Century Gothic" w:hAnsi="Century Gothic" w:cs="Century Gothic"/>
          <w:i/>
          <w:color w:val="000000"/>
          <w:sz w:val="22"/>
          <w:szCs w:val="22"/>
        </w:rPr>
      </w:pPr>
    </w:p>
    <w:p w14:paraId="46A02948" w14:textId="77777777" w:rsidR="00F233B2" w:rsidRDefault="00F233B2" w:rsidP="00F233B2">
      <w:pPr>
        <w:numPr>
          <w:ilvl w:val="0"/>
          <w:numId w:val="1"/>
        </w:numPr>
        <w:spacing w:after="0"/>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Con más de 250 toneladas de comidas salvadas en España en 2024, Phenix se ha consolidado como un socio clave en la reducción del desperdicio alimentario y la promoción de un consumo más sostenible</w:t>
      </w:r>
    </w:p>
    <w:p w14:paraId="095C82B4" w14:textId="77777777" w:rsidR="00F233B2" w:rsidRDefault="00F233B2" w:rsidP="00F233B2">
      <w:pPr>
        <w:spacing w:after="0"/>
        <w:jc w:val="both"/>
        <w:rPr>
          <w:rFonts w:ascii="Century Gothic" w:eastAsia="Century Gothic" w:hAnsi="Century Gothic" w:cs="Century Gothic"/>
          <w:b/>
          <w:color w:val="000000"/>
          <w:sz w:val="22"/>
          <w:szCs w:val="22"/>
        </w:rPr>
      </w:pPr>
    </w:p>
    <w:p w14:paraId="3D0EFB2C" w14:textId="77777777" w:rsidR="00F233B2" w:rsidRDefault="00F233B2" w:rsidP="00F233B2">
      <w:pPr>
        <w:spacing w:after="0"/>
        <w:jc w:val="both"/>
        <w:rPr>
          <w:rFonts w:ascii="Open Sans" w:eastAsia="Open Sans" w:hAnsi="Open Sans" w:cs="Open Sans"/>
          <w:b/>
          <w:color w:val="000000"/>
          <w:sz w:val="22"/>
          <w:szCs w:val="22"/>
        </w:rPr>
      </w:pPr>
      <w:r>
        <w:rPr>
          <w:rFonts w:ascii="Open Sans" w:eastAsia="Open Sans" w:hAnsi="Open Sans" w:cs="Open Sans"/>
          <w:b/>
          <w:color w:val="000000"/>
          <w:sz w:val="22"/>
          <w:szCs w:val="22"/>
        </w:rPr>
        <w:t>Barcelona,4 de junio de 2025.</w:t>
      </w:r>
      <w:r>
        <w:t xml:space="preserve"> </w:t>
      </w:r>
      <w:r>
        <w:rPr>
          <w:rFonts w:ascii="Open Sans" w:eastAsia="Open Sans" w:hAnsi="Open Sans" w:cs="Open Sans"/>
          <w:color w:val="000000"/>
          <w:sz w:val="22"/>
          <w:szCs w:val="22"/>
        </w:rPr>
        <w:t xml:space="preserve">En un momento clave para el sector agroalimentario marcado </w:t>
      </w:r>
      <w:r>
        <w:rPr>
          <w:rFonts w:ascii="Open Sans" w:eastAsia="Open Sans" w:hAnsi="Open Sans" w:cs="Open Sans"/>
          <w:b/>
          <w:color w:val="000000"/>
          <w:sz w:val="22"/>
          <w:szCs w:val="22"/>
        </w:rPr>
        <w:t>por la aprobación de la Ley de Prevención de Pérdidas y Desperdicio Alimentario</w:t>
      </w:r>
      <w:r>
        <w:rPr>
          <w:rFonts w:ascii="Open Sans" w:eastAsia="Open Sans" w:hAnsi="Open Sans" w:cs="Open Sans"/>
          <w:color w:val="000000"/>
          <w:sz w:val="22"/>
          <w:szCs w:val="22"/>
        </w:rPr>
        <w:t xml:space="preserve">, las empresas se enfrentan a nuevos retos normativos y operativos. Con el objetivo de resolver dudas y compartir experiencias sobre su aplicación práctica, </w:t>
      </w:r>
      <w:hyperlink r:id="rId7">
        <w:r>
          <w:rPr>
            <w:rFonts w:ascii="Open Sans" w:eastAsia="Open Sans" w:hAnsi="Open Sans" w:cs="Open Sans"/>
            <w:color w:val="467886"/>
            <w:sz w:val="22"/>
            <w:szCs w:val="22"/>
            <w:u w:val="single"/>
          </w:rPr>
          <w:t>Phenix</w:t>
        </w:r>
      </w:hyperlink>
      <w:r>
        <w:rPr>
          <w:rFonts w:ascii="Open Sans" w:eastAsia="Open Sans" w:hAnsi="Open Sans" w:cs="Open Sans"/>
          <w:color w:val="000000"/>
          <w:sz w:val="22"/>
          <w:szCs w:val="22"/>
        </w:rPr>
        <w:t xml:space="preserve">, empresa líder en la gestión de excedentes alimentarios en Europa, en colaboración con el despacho </w:t>
      </w:r>
      <w:proofErr w:type="spellStart"/>
      <w:r>
        <w:rPr>
          <w:rFonts w:ascii="Open Sans" w:eastAsia="Open Sans" w:hAnsi="Open Sans" w:cs="Open Sans"/>
          <w:b/>
          <w:color w:val="000000"/>
          <w:sz w:val="22"/>
          <w:szCs w:val="22"/>
        </w:rPr>
        <w:t>RocaJunyent</w:t>
      </w:r>
      <w:proofErr w:type="spellEnd"/>
      <w:r>
        <w:rPr>
          <w:rFonts w:ascii="Open Sans" w:eastAsia="Open Sans" w:hAnsi="Open Sans" w:cs="Open Sans"/>
          <w:b/>
          <w:color w:val="000000"/>
          <w:sz w:val="22"/>
          <w:szCs w:val="22"/>
        </w:rPr>
        <w:t xml:space="preserve"> </w:t>
      </w:r>
      <w:r>
        <w:rPr>
          <w:rFonts w:ascii="Open Sans" w:eastAsia="Open Sans" w:hAnsi="Open Sans" w:cs="Open Sans"/>
          <w:color w:val="000000"/>
          <w:sz w:val="22"/>
          <w:szCs w:val="22"/>
        </w:rPr>
        <w:t>organizaron ayer en Barcelona una jornada exclusiva que ha reunido a voces expertas del ámbito jurídico y empresarial.</w:t>
      </w:r>
    </w:p>
    <w:p w14:paraId="02C6A147" w14:textId="77777777" w:rsidR="00F233B2" w:rsidRDefault="00F233B2" w:rsidP="00F233B2">
      <w:pPr>
        <w:spacing w:after="0"/>
        <w:jc w:val="both"/>
        <w:rPr>
          <w:rFonts w:ascii="Open Sans" w:eastAsia="Open Sans" w:hAnsi="Open Sans" w:cs="Open Sans"/>
          <w:b/>
          <w:color w:val="000000"/>
          <w:sz w:val="22"/>
          <w:szCs w:val="22"/>
        </w:rPr>
      </w:pPr>
    </w:p>
    <w:p w14:paraId="1925CF8D" w14:textId="77777777" w:rsidR="00F233B2" w:rsidRDefault="00F233B2" w:rsidP="00F233B2">
      <w:pPr>
        <w:spacing w:after="0"/>
        <w:jc w:val="both"/>
        <w:rPr>
          <w:rFonts w:ascii="Open Sans" w:eastAsia="Open Sans" w:hAnsi="Open Sans" w:cs="Open Sans"/>
          <w:b/>
          <w:color w:val="000000"/>
          <w:sz w:val="22"/>
          <w:szCs w:val="22"/>
        </w:rPr>
      </w:pPr>
      <w:r>
        <w:rPr>
          <w:rFonts w:ascii="Open Sans" w:eastAsia="Open Sans" w:hAnsi="Open Sans" w:cs="Open Sans"/>
          <w:b/>
          <w:color w:val="000000"/>
          <w:sz w:val="22"/>
          <w:szCs w:val="22"/>
        </w:rPr>
        <w:t>Un espacio de diálogo entre referentes del sector</w:t>
      </w:r>
    </w:p>
    <w:p w14:paraId="5A9814E3" w14:textId="77777777" w:rsidR="00F233B2" w:rsidRDefault="00F233B2" w:rsidP="00F233B2">
      <w:pPr>
        <w:spacing w:after="0"/>
        <w:jc w:val="both"/>
        <w:rPr>
          <w:rFonts w:ascii="Open Sans" w:eastAsia="Open Sans" w:hAnsi="Open Sans" w:cs="Open Sans"/>
          <w:b/>
          <w:color w:val="000000"/>
          <w:sz w:val="22"/>
          <w:szCs w:val="22"/>
        </w:rPr>
      </w:pPr>
    </w:p>
    <w:p w14:paraId="17662FF2" w14:textId="77777777" w:rsidR="00F233B2" w:rsidRDefault="00F233B2" w:rsidP="00F233B2">
      <w:pPr>
        <w:spacing w:after="0"/>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Bajo la moderación de </w:t>
      </w:r>
      <w:r>
        <w:rPr>
          <w:rFonts w:ascii="Open Sans" w:eastAsia="Open Sans" w:hAnsi="Open Sans" w:cs="Open Sans"/>
          <w:b/>
          <w:color w:val="000000"/>
          <w:sz w:val="22"/>
          <w:szCs w:val="22"/>
        </w:rPr>
        <w:t>Lourdes Amigó de Bonet</w:t>
      </w:r>
      <w:r>
        <w:rPr>
          <w:rFonts w:ascii="Open Sans" w:eastAsia="Open Sans" w:hAnsi="Open Sans" w:cs="Open Sans"/>
          <w:color w:val="000000"/>
          <w:sz w:val="22"/>
          <w:szCs w:val="22"/>
        </w:rPr>
        <w:t xml:space="preserve">, asociada directora de </w:t>
      </w:r>
      <w:proofErr w:type="spellStart"/>
      <w:r>
        <w:rPr>
          <w:rFonts w:ascii="Open Sans" w:eastAsia="Open Sans" w:hAnsi="Open Sans" w:cs="Open Sans"/>
          <w:color w:val="000000"/>
          <w:sz w:val="22"/>
          <w:szCs w:val="22"/>
        </w:rPr>
        <w:t>RocaJunyent</w:t>
      </w:r>
      <w:proofErr w:type="spellEnd"/>
      <w:r>
        <w:rPr>
          <w:rFonts w:ascii="Open Sans" w:eastAsia="Open Sans" w:hAnsi="Open Sans" w:cs="Open Sans"/>
          <w:color w:val="000000"/>
          <w:sz w:val="22"/>
          <w:szCs w:val="22"/>
        </w:rPr>
        <w:t xml:space="preserve">, la mesa redonda “Prevención de pérdidas y desperdicio alimentario” ha contado con la participación de </w:t>
      </w:r>
      <w:r>
        <w:rPr>
          <w:rFonts w:ascii="Open Sans" w:eastAsia="Open Sans" w:hAnsi="Open Sans" w:cs="Open Sans"/>
          <w:b/>
          <w:color w:val="000000"/>
          <w:sz w:val="22"/>
          <w:szCs w:val="22"/>
        </w:rPr>
        <w:t>Núria de Pedraza</w:t>
      </w:r>
      <w:r>
        <w:rPr>
          <w:rFonts w:ascii="Open Sans" w:eastAsia="Open Sans" w:hAnsi="Open Sans" w:cs="Open Sans"/>
          <w:color w:val="000000"/>
          <w:sz w:val="22"/>
          <w:szCs w:val="22"/>
        </w:rPr>
        <w:t xml:space="preserve"> (AECOC), </w:t>
      </w:r>
      <w:r>
        <w:rPr>
          <w:rFonts w:ascii="Open Sans" w:eastAsia="Open Sans" w:hAnsi="Open Sans" w:cs="Open Sans"/>
          <w:b/>
          <w:color w:val="000000"/>
          <w:sz w:val="22"/>
          <w:szCs w:val="22"/>
        </w:rPr>
        <w:t xml:space="preserve">Alejandro Martínez </w:t>
      </w:r>
      <w:r>
        <w:rPr>
          <w:rFonts w:ascii="Open Sans" w:eastAsia="Open Sans" w:hAnsi="Open Sans" w:cs="Open Sans"/>
          <w:color w:val="000000"/>
          <w:sz w:val="22"/>
          <w:szCs w:val="22"/>
        </w:rPr>
        <w:t xml:space="preserve">(Eroski), </w:t>
      </w:r>
      <w:r>
        <w:rPr>
          <w:rFonts w:ascii="Open Sans" w:eastAsia="Open Sans" w:hAnsi="Open Sans" w:cs="Open Sans"/>
          <w:b/>
          <w:color w:val="000000"/>
          <w:sz w:val="22"/>
          <w:szCs w:val="22"/>
        </w:rPr>
        <w:t>Lluís Farré</w:t>
      </w:r>
      <w:r>
        <w:rPr>
          <w:rFonts w:ascii="Open Sans" w:eastAsia="Open Sans" w:hAnsi="Open Sans" w:cs="Open Sans"/>
          <w:color w:val="000000"/>
          <w:sz w:val="22"/>
          <w:szCs w:val="22"/>
        </w:rPr>
        <w:t xml:space="preserve"> (</w:t>
      </w:r>
      <w:proofErr w:type="spellStart"/>
      <w:r>
        <w:rPr>
          <w:rFonts w:ascii="Open Sans" w:eastAsia="Open Sans" w:hAnsi="Open Sans" w:cs="Open Sans"/>
          <w:color w:val="000000"/>
          <w:sz w:val="22"/>
          <w:szCs w:val="22"/>
        </w:rPr>
        <w:t>Lactalis</w:t>
      </w:r>
      <w:proofErr w:type="spellEnd"/>
      <w:r>
        <w:rPr>
          <w:rFonts w:ascii="Open Sans" w:eastAsia="Open Sans" w:hAnsi="Open Sans" w:cs="Open Sans"/>
          <w:color w:val="000000"/>
          <w:sz w:val="22"/>
          <w:szCs w:val="22"/>
        </w:rPr>
        <w:t xml:space="preserve"> Nestlé), </w:t>
      </w:r>
      <w:r>
        <w:rPr>
          <w:rFonts w:ascii="Open Sans" w:eastAsia="Open Sans" w:hAnsi="Open Sans" w:cs="Open Sans"/>
          <w:b/>
          <w:color w:val="000000"/>
          <w:sz w:val="22"/>
          <w:szCs w:val="22"/>
        </w:rPr>
        <w:t xml:space="preserve">Albert </w:t>
      </w:r>
      <w:proofErr w:type="spellStart"/>
      <w:r>
        <w:rPr>
          <w:rFonts w:ascii="Open Sans" w:eastAsia="Open Sans" w:hAnsi="Open Sans" w:cs="Open Sans"/>
          <w:b/>
          <w:color w:val="000000"/>
          <w:sz w:val="22"/>
          <w:szCs w:val="22"/>
        </w:rPr>
        <w:t>Vilà</w:t>
      </w:r>
      <w:proofErr w:type="spellEnd"/>
      <w:r>
        <w:rPr>
          <w:rFonts w:ascii="Open Sans" w:eastAsia="Open Sans" w:hAnsi="Open Sans" w:cs="Open Sans"/>
          <w:color w:val="000000"/>
          <w:sz w:val="22"/>
          <w:szCs w:val="22"/>
        </w:rPr>
        <w:t xml:space="preserve"> (Grupo Tragaluz) y </w:t>
      </w:r>
      <w:r>
        <w:rPr>
          <w:rFonts w:ascii="Open Sans" w:eastAsia="Open Sans" w:hAnsi="Open Sans" w:cs="Open Sans"/>
          <w:b/>
          <w:color w:val="000000"/>
          <w:sz w:val="22"/>
          <w:szCs w:val="22"/>
        </w:rPr>
        <w:t>Antonio Eduardo Díaz</w:t>
      </w:r>
      <w:r>
        <w:rPr>
          <w:rFonts w:ascii="Open Sans" w:eastAsia="Open Sans" w:hAnsi="Open Sans" w:cs="Open Sans"/>
          <w:color w:val="000000"/>
          <w:sz w:val="22"/>
          <w:szCs w:val="22"/>
        </w:rPr>
        <w:t xml:space="preserve"> (Phenix). Todos los ponentes han compartido sus reflexiones en torno a los principales retos derivados de la aplicación de la ley, desde la elaboración de planes de prevención hasta la gestión y donación efectiva del excedente.</w:t>
      </w:r>
    </w:p>
    <w:p w14:paraId="464A0478" w14:textId="77777777" w:rsidR="00F233B2" w:rsidRDefault="00F233B2" w:rsidP="00F233B2">
      <w:pPr>
        <w:spacing w:after="0"/>
        <w:jc w:val="both"/>
        <w:rPr>
          <w:rFonts w:ascii="Open Sans" w:eastAsia="Open Sans" w:hAnsi="Open Sans" w:cs="Open Sans"/>
          <w:color w:val="000000"/>
          <w:sz w:val="22"/>
          <w:szCs w:val="22"/>
        </w:rPr>
      </w:pPr>
    </w:p>
    <w:p w14:paraId="209A5A38" w14:textId="77777777" w:rsidR="00F233B2" w:rsidRDefault="00F233B2" w:rsidP="00F233B2">
      <w:pPr>
        <w:spacing w:after="0"/>
        <w:jc w:val="both"/>
        <w:rPr>
          <w:rFonts w:ascii="Open Sans" w:eastAsia="Open Sans" w:hAnsi="Open Sans" w:cs="Open Sans"/>
          <w:b/>
          <w:color w:val="000000"/>
          <w:sz w:val="22"/>
          <w:szCs w:val="22"/>
        </w:rPr>
      </w:pPr>
      <w:r>
        <w:rPr>
          <w:rFonts w:ascii="Open Sans" w:eastAsia="Open Sans" w:hAnsi="Open Sans" w:cs="Open Sans"/>
          <w:color w:val="000000"/>
          <w:sz w:val="22"/>
          <w:szCs w:val="22"/>
        </w:rPr>
        <w:t xml:space="preserve">Durante el debate, se ha puesto en valor la importancia de contar con una normativa clara, pero también con soluciones operativas que faciliten su cumplimiento.  También se ha subrayado la importancia de </w:t>
      </w:r>
      <w:r>
        <w:rPr>
          <w:rFonts w:ascii="Open Sans" w:eastAsia="Open Sans" w:hAnsi="Open Sans" w:cs="Open Sans"/>
          <w:b/>
          <w:color w:val="000000"/>
          <w:sz w:val="22"/>
          <w:szCs w:val="22"/>
        </w:rPr>
        <w:t>generar sinergias entre empresas, administraciones y organizaciones</w:t>
      </w:r>
      <w:r>
        <w:rPr>
          <w:rFonts w:ascii="Open Sans" w:eastAsia="Open Sans" w:hAnsi="Open Sans" w:cs="Open Sans"/>
          <w:color w:val="000000"/>
          <w:sz w:val="22"/>
          <w:szCs w:val="22"/>
        </w:rPr>
        <w:t xml:space="preserve"> sociales para lograr un impacto real y duradero en la reducción del desperdicio. </w:t>
      </w:r>
    </w:p>
    <w:p w14:paraId="5C83DC07" w14:textId="77777777" w:rsidR="00F233B2" w:rsidRDefault="00F233B2" w:rsidP="00F233B2">
      <w:pPr>
        <w:spacing w:after="0"/>
        <w:jc w:val="both"/>
        <w:rPr>
          <w:rFonts w:ascii="Open Sans" w:eastAsia="Open Sans" w:hAnsi="Open Sans" w:cs="Open Sans"/>
          <w:b/>
          <w:color w:val="000000"/>
          <w:sz w:val="22"/>
          <w:szCs w:val="22"/>
        </w:rPr>
      </w:pPr>
    </w:p>
    <w:p w14:paraId="499CCF89" w14:textId="77777777" w:rsidR="00F233B2" w:rsidRDefault="00F233B2" w:rsidP="00F233B2">
      <w:pPr>
        <w:spacing w:after="0"/>
        <w:jc w:val="both"/>
        <w:rPr>
          <w:rFonts w:ascii="Open Sans" w:eastAsia="Open Sans" w:hAnsi="Open Sans" w:cs="Open Sans"/>
          <w:b/>
          <w:color w:val="000000"/>
          <w:sz w:val="22"/>
          <w:szCs w:val="22"/>
        </w:rPr>
      </w:pPr>
      <w:r>
        <w:rPr>
          <w:rFonts w:ascii="Open Sans" w:eastAsia="Open Sans" w:hAnsi="Open Sans" w:cs="Open Sans"/>
          <w:b/>
          <w:color w:val="000000"/>
          <w:sz w:val="22"/>
          <w:szCs w:val="22"/>
        </w:rPr>
        <w:t>Phenix: un aliado estratégico en la reducción del desperdicio</w:t>
      </w:r>
    </w:p>
    <w:p w14:paraId="1FD29031" w14:textId="77777777" w:rsidR="00F233B2" w:rsidRDefault="00F233B2" w:rsidP="00F233B2">
      <w:pPr>
        <w:spacing w:after="0"/>
        <w:jc w:val="both"/>
        <w:rPr>
          <w:rFonts w:ascii="Open Sans" w:eastAsia="Open Sans" w:hAnsi="Open Sans" w:cs="Open Sans"/>
          <w:b/>
          <w:color w:val="000000"/>
          <w:sz w:val="22"/>
          <w:szCs w:val="22"/>
        </w:rPr>
      </w:pPr>
    </w:p>
    <w:p w14:paraId="6BF25DF9" w14:textId="77777777" w:rsidR="00F233B2" w:rsidRDefault="00F233B2" w:rsidP="00F233B2">
      <w:pPr>
        <w:jc w:val="both"/>
        <w:rPr>
          <w:rFonts w:ascii="Open Sans" w:eastAsia="Open Sans" w:hAnsi="Open Sans" w:cs="Open Sans"/>
          <w:b/>
          <w:color w:val="000000"/>
          <w:sz w:val="22"/>
          <w:szCs w:val="22"/>
        </w:rPr>
      </w:pPr>
      <w:r>
        <w:rPr>
          <w:rFonts w:ascii="Open Sans" w:eastAsia="Open Sans" w:hAnsi="Open Sans" w:cs="Open Sans"/>
          <w:color w:val="000000"/>
          <w:sz w:val="22"/>
          <w:szCs w:val="22"/>
        </w:rPr>
        <w:lastRenderedPageBreak/>
        <w:t xml:space="preserve">Durante su intervención, </w:t>
      </w:r>
      <w:r>
        <w:rPr>
          <w:rFonts w:ascii="Open Sans" w:eastAsia="Open Sans" w:hAnsi="Open Sans" w:cs="Open Sans"/>
          <w:b/>
          <w:color w:val="000000"/>
          <w:sz w:val="22"/>
          <w:szCs w:val="22"/>
        </w:rPr>
        <w:t xml:space="preserve">Antonio Eduardo Díaz, Key </w:t>
      </w:r>
      <w:proofErr w:type="spellStart"/>
      <w:r>
        <w:rPr>
          <w:rFonts w:ascii="Open Sans" w:eastAsia="Open Sans" w:hAnsi="Open Sans" w:cs="Open Sans"/>
          <w:b/>
          <w:color w:val="000000"/>
          <w:sz w:val="22"/>
          <w:szCs w:val="22"/>
        </w:rPr>
        <w:t>Account</w:t>
      </w:r>
      <w:proofErr w:type="spellEnd"/>
      <w:r>
        <w:rPr>
          <w:rFonts w:ascii="Open Sans" w:eastAsia="Open Sans" w:hAnsi="Open Sans" w:cs="Open Sans"/>
          <w:b/>
          <w:color w:val="000000"/>
          <w:sz w:val="22"/>
          <w:szCs w:val="22"/>
        </w:rPr>
        <w:t xml:space="preserve"> Manager </w:t>
      </w:r>
      <w:proofErr w:type="spellStart"/>
      <w:r>
        <w:rPr>
          <w:rFonts w:ascii="Open Sans" w:eastAsia="Open Sans" w:hAnsi="Open Sans" w:cs="Open Sans"/>
          <w:b/>
          <w:color w:val="000000"/>
          <w:sz w:val="22"/>
          <w:szCs w:val="22"/>
        </w:rPr>
        <w:t>Spain</w:t>
      </w:r>
      <w:proofErr w:type="spellEnd"/>
      <w:r>
        <w:rPr>
          <w:rFonts w:ascii="Open Sans" w:eastAsia="Open Sans" w:hAnsi="Open Sans" w:cs="Open Sans"/>
          <w:b/>
          <w:color w:val="000000"/>
          <w:sz w:val="22"/>
          <w:szCs w:val="22"/>
        </w:rPr>
        <w:t xml:space="preserve">, </w:t>
      </w:r>
      <w:r>
        <w:rPr>
          <w:rFonts w:ascii="Open Sans" w:eastAsia="Open Sans" w:hAnsi="Open Sans" w:cs="Open Sans"/>
          <w:color w:val="000000"/>
          <w:sz w:val="22"/>
          <w:szCs w:val="22"/>
        </w:rPr>
        <w:t>ha compartido la experiencia de la compañía acompañando a empresas del sector retail y alimentario en la implementación de estrategias que permiten cumplir con la ley y, al mismo tiempo, avanzar hacia modelos de negocio más sostenibles.</w:t>
      </w:r>
    </w:p>
    <w:p w14:paraId="4C0BFFCF" w14:textId="77777777" w:rsidR="00F233B2" w:rsidRDefault="00F233B2" w:rsidP="00F233B2">
      <w:pPr>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Como empresa certificada </w:t>
      </w:r>
      <w:r>
        <w:rPr>
          <w:rFonts w:ascii="Open Sans" w:eastAsia="Open Sans" w:hAnsi="Open Sans" w:cs="Open Sans"/>
          <w:b/>
          <w:color w:val="000000"/>
          <w:sz w:val="22"/>
          <w:szCs w:val="22"/>
        </w:rPr>
        <w:t>B-</w:t>
      </w:r>
      <w:proofErr w:type="spellStart"/>
      <w:r>
        <w:rPr>
          <w:rFonts w:ascii="Open Sans" w:eastAsia="Open Sans" w:hAnsi="Open Sans" w:cs="Open Sans"/>
          <w:b/>
          <w:color w:val="000000"/>
          <w:sz w:val="22"/>
          <w:szCs w:val="22"/>
        </w:rPr>
        <w:t>Corp</w:t>
      </w:r>
      <w:proofErr w:type="spellEnd"/>
      <w:r>
        <w:rPr>
          <w:rFonts w:ascii="Open Sans" w:eastAsia="Open Sans" w:hAnsi="Open Sans" w:cs="Open Sans"/>
          <w:color w:val="000000"/>
          <w:sz w:val="22"/>
          <w:szCs w:val="22"/>
        </w:rPr>
        <w:t xml:space="preserve">, Phenix lleva años trabajando con </w:t>
      </w:r>
      <w:proofErr w:type="spellStart"/>
      <w:r>
        <w:rPr>
          <w:rFonts w:ascii="Open Sans" w:eastAsia="Open Sans" w:hAnsi="Open Sans" w:cs="Open Sans"/>
          <w:i/>
          <w:color w:val="000000"/>
          <w:sz w:val="22"/>
          <w:szCs w:val="22"/>
        </w:rPr>
        <w:t>retailers</w:t>
      </w:r>
      <w:proofErr w:type="spellEnd"/>
      <w:r>
        <w:rPr>
          <w:rFonts w:ascii="Open Sans" w:eastAsia="Open Sans" w:hAnsi="Open Sans" w:cs="Open Sans"/>
          <w:i/>
          <w:color w:val="000000"/>
          <w:sz w:val="22"/>
          <w:szCs w:val="22"/>
        </w:rPr>
        <w:t xml:space="preserve"> </w:t>
      </w:r>
      <w:r>
        <w:rPr>
          <w:rFonts w:ascii="Open Sans" w:eastAsia="Open Sans" w:hAnsi="Open Sans" w:cs="Open Sans"/>
          <w:color w:val="000000"/>
          <w:sz w:val="22"/>
          <w:szCs w:val="22"/>
        </w:rPr>
        <w:t xml:space="preserve">y fabricantes de alimentos para optimizar la gestión de excedentes a través de soluciones digitales y colaboraciones estratégicas con entidades sociales. Con más de </w:t>
      </w:r>
      <w:r>
        <w:rPr>
          <w:rFonts w:ascii="Open Sans" w:eastAsia="Open Sans" w:hAnsi="Open Sans" w:cs="Open Sans"/>
          <w:b/>
          <w:color w:val="000000"/>
          <w:sz w:val="22"/>
          <w:szCs w:val="22"/>
        </w:rPr>
        <w:t>250 toneladas de comidas salvadas en España en 2024</w:t>
      </w:r>
      <w:r>
        <w:rPr>
          <w:rFonts w:ascii="Open Sans" w:eastAsia="Open Sans" w:hAnsi="Open Sans" w:cs="Open Sans"/>
          <w:color w:val="000000"/>
          <w:sz w:val="22"/>
          <w:szCs w:val="22"/>
        </w:rPr>
        <w:t>, la compañía se ha consolidado como un socio clave en la reducción del desperdicio alimentario y la promoción de un consumo más sostenible.</w:t>
      </w:r>
    </w:p>
    <w:p w14:paraId="036186D6" w14:textId="77777777" w:rsidR="00F233B2" w:rsidRDefault="00F233B2" w:rsidP="00F233B2">
      <w:pPr>
        <w:jc w:val="both"/>
        <w:rPr>
          <w:rFonts w:ascii="Open Sans" w:eastAsia="Open Sans" w:hAnsi="Open Sans" w:cs="Open Sans"/>
          <w:color w:val="000000"/>
          <w:sz w:val="22"/>
          <w:szCs w:val="22"/>
        </w:rPr>
      </w:pPr>
      <w:r>
        <w:rPr>
          <w:rFonts w:ascii="Open Sans" w:eastAsia="Open Sans" w:hAnsi="Open Sans" w:cs="Open Sans"/>
          <w:i/>
          <w:color w:val="000000"/>
          <w:sz w:val="22"/>
          <w:szCs w:val="22"/>
        </w:rPr>
        <w:t>“La ley establece un marco normativo claro, pero su impacto dependerá de la capacidad del sector para adaptarse y colaborar. En Phenix creemos que la clave está en acompañar a las empresas con herramientas prácticas y una visión compartida: hacer del desperdicio alimentario una excepción, no una norma”</w:t>
      </w:r>
      <w:r>
        <w:rPr>
          <w:rFonts w:ascii="Open Sans" w:eastAsia="Open Sans" w:hAnsi="Open Sans" w:cs="Open Sans"/>
          <w:color w:val="000000"/>
          <w:sz w:val="22"/>
          <w:szCs w:val="22"/>
        </w:rPr>
        <w:t xml:space="preserve">, ha señalado </w:t>
      </w:r>
      <w:r>
        <w:rPr>
          <w:rFonts w:ascii="Open Sans" w:eastAsia="Open Sans" w:hAnsi="Open Sans" w:cs="Open Sans"/>
          <w:b/>
          <w:color w:val="000000"/>
          <w:sz w:val="22"/>
          <w:szCs w:val="22"/>
        </w:rPr>
        <w:t>Antonio Eduardo Díaz</w:t>
      </w:r>
      <w:r>
        <w:rPr>
          <w:rFonts w:ascii="Open Sans" w:eastAsia="Open Sans" w:hAnsi="Open Sans" w:cs="Open Sans"/>
          <w:color w:val="000000"/>
          <w:sz w:val="22"/>
          <w:szCs w:val="22"/>
        </w:rPr>
        <w:t xml:space="preserve">, </w:t>
      </w:r>
      <w:r>
        <w:rPr>
          <w:rFonts w:ascii="Open Sans" w:eastAsia="Open Sans" w:hAnsi="Open Sans" w:cs="Open Sans"/>
          <w:b/>
          <w:color w:val="000000"/>
          <w:sz w:val="22"/>
          <w:szCs w:val="22"/>
        </w:rPr>
        <w:t xml:space="preserve">Key </w:t>
      </w:r>
      <w:proofErr w:type="spellStart"/>
      <w:r>
        <w:rPr>
          <w:rFonts w:ascii="Open Sans" w:eastAsia="Open Sans" w:hAnsi="Open Sans" w:cs="Open Sans"/>
          <w:b/>
          <w:color w:val="000000"/>
          <w:sz w:val="22"/>
          <w:szCs w:val="22"/>
        </w:rPr>
        <w:t>Account</w:t>
      </w:r>
      <w:proofErr w:type="spellEnd"/>
      <w:r>
        <w:rPr>
          <w:rFonts w:ascii="Open Sans" w:eastAsia="Open Sans" w:hAnsi="Open Sans" w:cs="Open Sans"/>
          <w:b/>
          <w:color w:val="000000"/>
          <w:sz w:val="22"/>
          <w:szCs w:val="22"/>
        </w:rPr>
        <w:t xml:space="preserve"> Manager </w:t>
      </w:r>
      <w:proofErr w:type="spellStart"/>
      <w:r>
        <w:rPr>
          <w:rFonts w:ascii="Open Sans" w:eastAsia="Open Sans" w:hAnsi="Open Sans" w:cs="Open Sans"/>
          <w:b/>
          <w:color w:val="000000"/>
          <w:sz w:val="22"/>
          <w:szCs w:val="22"/>
        </w:rPr>
        <w:t>Spain</w:t>
      </w:r>
      <w:proofErr w:type="spellEnd"/>
    </w:p>
    <w:p w14:paraId="4F7E8307" w14:textId="77777777" w:rsidR="00F233B2" w:rsidRDefault="00F233B2" w:rsidP="00F233B2">
      <w:pPr>
        <w:jc w:val="center"/>
        <w:rPr>
          <w:rFonts w:ascii="Open Sans" w:eastAsia="Open Sans" w:hAnsi="Open Sans" w:cs="Open Sans"/>
          <w:color w:val="000000"/>
          <w:sz w:val="22"/>
          <w:szCs w:val="22"/>
        </w:rPr>
      </w:pPr>
      <w:r>
        <w:pict w14:anchorId="043E1A78">
          <v:rect id="_x0000_i1025" style="width:0;height:1.5pt" o:hralign="center" o:hrstd="t" o:hr="t" fillcolor="#a0a0a0" stroked="f"/>
        </w:pict>
      </w:r>
    </w:p>
    <w:p w14:paraId="437581BA" w14:textId="77777777" w:rsidR="00F233B2" w:rsidRDefault="00F233B2" w:rsidP="00F233B2">
      <w:pPr>
        <w:jc w:val="center"/>
        <w:rPr>
          <w:rFonts w:ascii="Open Sans" w:eastAsia="Open Sans" w:hAnsi="Open Sans" w:cs="Open Sans"/>
          <w:sz w:val="22"/>
          <w:szCs w:val="22"/>
        </w:rPr>
      </w:pPr>
      <w:r>
        <w:rPr>
          <w:rFonts w:ascii="Open Sans" w:eastAsia="Open Sans" w:hAnsi="Open Sans" w:cs="Open Sans"/>
          <w:sz w:val="22"/>
          <w:szCs w:val="22"/>
        </w:rPr>
        <w:t>***</w:t>
      </w:r>
    </w:p>
    <w:p w14:paraId="0DFEA2C7" w14:textId="77777777" w:rsidR="00F233B2" w:rsidRDefault="00F233B2" w:rsidP="00F233B2">
      <w:pPr>
        <w:spacing w:after="0" w:line="240" w:lineRule="auto"/>
        <w:rPr>
          <w:rFonts w:ascii="Calibri" w:eastAsia="Calibri" w:hAnsi="Calibri" w:cs="Calibri"/>
          <w:b/>
          <w:sz w:val="18"/>
          <w:szCs w:val="18"/>
        </w:rPr>
      </w:pPr>
      <w:r>
        <w:rPr>
          <w:rFonts w:ascii="Calibri" w:eastAsia="Calibri" w:hAnsi="Calibri" w:cs="Calibri"/>
          <w:b/>
          <w:sz w:val="18"/>
          <w:szCs w:val="18"/>
        </w:rPr>
        <w:t>Sobre Phenix</w:t>
      </w:r>
    </w:p>
    <w:p w14:paraId="7CB75679" w14:textId="77777777" w:rsidR="00F233B2" w:rsidRDefault="00F233B2" w:rsidP="00F233B2">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Phenix es una empresa especializada en maximizar el valor del excedente en el sector retail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w:t>
      </w:r>
      <w:proofErr w:type="spellStart"/>
      <w:r>
        <w:rPr>
          <w:rFonts w:ascii="Century Gothic" w:eastAsia="Century Gothic" w:hAnsi="Century Gothic" w:cs="Century Gothic"/>
          <w:i/>
          <w:sz w:val="16"/>
          <w:szCs w:val="16"/>
        </w:rPr>
        <w:t>Corporation</w:t>
      </w:r>
      <w:proofErr w:type="spellEnd"/>
      <w:r>
        <w:rPr>
          <w:rFonts w:ascii="Century Gothic" w:eastAsia="Century Gothic" w:hAnsi="Century Gothic" w:cs="Century Gothic"/>
          <w:i/>
          <w:sz w:val="16"/>
          <w:szCs w:val="16"/>
        </w:rPr>
        <w:t>, mostrando su compromiso con la sociedad y el medioambiente.</w:t>
      </w:r>
    </w:p>
    <w:p w14:paraId="207D6A47" w14:textId="77777777" w:rsidR="00F233B2" w:rsidRDefault="00F233B2" w:rsidP="00F233B2">
      <w:pPr>
        <w:spacing w:after="0" w:line="240" w:lineRule="auto"/>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Para más información: https://www.wearephenix.com/es/</w:t>
      </w:r>
    </w:p>
    <w:p w14:paraId="0662E543" w14:textId="77777777" w:rsidR="00F233B2" w:rsidRDefault="00F233B2" w:rsidP="00F233B2">
      <w:pPr>
        <w:rPr>
          <w:rFonts w:ascii="Open Sans" w:eastAsia="Open Sans" w:hAnsi="Open Sans" w:cs="Open Sans"/>
          <w:sz w:val="22"/>
          <w:szCs w:val="22"/>
        </w:rPr>
      </w:pPr>
    </w:p>
    <w:p w14:paraId="1B01E90C" w14:textId="77777777" w:rsidR="00F233B2" w:rsidRDefault="00F233B2" w:rsidP="00F233B2">
      <w:pPr>
        <w:spacing w:after="0" w:line="240" w:lineRule="auto"/>
        <w:jc w:val="right"/>
        <w:rPr>
          <w:rFonts w:ascii="Calibri" w:eastAsia="Calibri" w:hAnsi="Calibri" w:cs="Calibri"/>
          <w:b/>
          <w:sz w:val="20"/>
          <w:szCs w:val="20"/>
        </w:rPr>
      </w:pPr>
      <w:r>
        <w:rPr>
          <w:rFonts w:ascii="Calibri" w:eastAsia="Calibri" w:hAnsi="Calibri" w:cs="Calibri"/>
          <w:b/>
          <w:sz w:val="20"/>
          <w:szCs w:val="20"/>
        </w:rPr>
        <w:t>Contacto para la prensa:</w:t>
      </w:r>
    </w:p>
    <w:p w14:paraId="3356438F" w14:textId="77777777" w:rsidR="00F233B2" w:rsidRDefault="00F233B2" w:rsidP="00F233B2">
      <w:pPr>
        <w:jc w:val="center"/>
        <w:rPr>
          <w:rFonts w:ascii="Open Sans" w:eastAsia="Open Sans" w:hAnsi="Open Sans" w:cs="Open Sans"/>
          <w:sz w:val="22"/>
          <w:szCs w:val="22"/>
        </w:rPr>
      </w:pPr>
    </w:p>
    <w:p w14:paraId="0F6A8265" w14:textId="77777777" w:rsidR="00F233B2" w:rsidRDefault="00F233B2" w:rsidP="00F233B2">
      <w:pPr>
        <w:spacing w:after="0" w:line="240" w:lineRule="auto"/>
        <w:jc w:val="right"/>
        <w:rPr>
          <w:rFonts w:ascii="Calibri" w:eastAsia="Calibri" w:hAnsi="Calibri" w:cs="Calibri"/>
          <w:b/>
          <w:sz w:val="20"/>
          <w:szCs w:val="20"/>
        </w:rPr>
      </w:pPr>
      <w:r>
        <w:rPr>
          <w:rFonts w:ascii="Calibri" w:eastAsia="Calibri" w:hAnsi="Calibri" w:cs="Calibri"/>
          <w:b/>
          <w:sz w:val="20"/>
          <w:szCs w:val="20"/>
        </w:rPr>
        <w:t xml:space="preserve">Marina Gascón Martínez de Quel </w:t>
      </w:r>
    </w:p>
    <w:p w14:paraId="04190E13" w14:textId="77777777" w:rsidR="00F233B2" w:rsidRDefault="00F233B2" w:rsidP="00F233B2">
      <w:pPr>
        <w:spacing w:after="0" w:line="240" w:lineRule="auto"/>
        <w:jc w:val="right"/>
        <w:rPr>
          <w:rFonts w:ascii="Calibri" w:eastAsia="Calibri" w:hAnsi="Calibri" w:cs="Calibri"/>
          <w:sz w:val="20"/>
          <w:szCs w:val="20"/>
        </w:rPr>
      </w:pPr>
      <w:r>
        <w:rPr>
          <w:rFonts w:ascii="Calibri" w:eastAsia="Calibri" w:hAnsi="Calibri" w:cs="Calibri"/>
          <w:sz w:val="20"/>
          <w:szCs w:val="20"/>
        </w:rPr>
        <w:t xml:space="preserve">marina.gascon@newlink-group.com </w:t>
      </w:r>
    </w:p>
    <w:p w14:paraId="503D96EA" w14:textId="77777777" w:rsidR="00F233B2" w:rsidRDefault="00F233B2" w:rsidP="00F233B2">
      <w:pPr>
        <w:spacing w:after="0" w:line="240" w:lineRule="auto"/>
        <w:jc w:val="right"/>
        <w:rPr>
          <w:rFonts w:ascii="Calibri" w:eastAsia="Calibri" w:hAnsi="Calibri" w:cs="Calibri"/>
          <w:sz w:val="20"/>
          <w:szCs w:val="20"/>
        </w:rPr>
      </w:pPr>
      <w:r>
        <w:rPr>
          <w:rFonts w:ascii="Calibri" w:eastAsia="Calibri" w:hAnsi="Calibri" w:cs="Calibri"/>
          <w:sz w:val="20"/>
          <w:szCs w:val="20"/>
        </w:rPr>
        <w:t xml:space="preserve">+ 34 651 963 459 </w:t>
      </w:r>
    </w:p>
    <w:p w14:paraId="65D368B2" w14:textId="77777777" w:rsidR="00F233B2" w:rsidRDefault="00F233B2" w:rsidP="00F233B2">
      <w:pPr>
        <w:spacing w:after="0" w:line="240" w:lineRule="auto"/>
        <w:jc w:val="right"/>
        <w:rPr>
          <w:rFonts w:ascii="Calibri" w:eastAsia="Calibri" w:hAnsi="Calibri" w:cs="Calibri"/>
          <w:b/>
          <w:sz w:val="20"/>
          <w:szCs w:val="20"/>
        </w:rPr>
      </w:pPr>
    </w:p>
    <w:p w14:paraId="7A645EC2" w14:textId="77777777" w:rsidR="00F233B2" w:rsidRDefault="00F233B2" w:rsidP="00F233B2">
      <w:pPr>
        <w:spacing w:after="0" w:line="240" w:lineRule="auto"/>
        <w:jc w:val="right"/>
        <w:rPr>
          <w:rFonts w:ascii="Calibri" w:eastAsia="Calibri" w:hAnsi="Calibri" w:cs="Calibri"/>
          <w:b/>
          <w:sz w:val="20"/>
          <w:szCs w:val="20"/>
        </w:rPr>
      </w:pPr>
      <w:r>
        <w:rPr>
          <w:rFonts w:ascii="Calibri" w:eastAsia="Calibri" w:hAnsi="Calibri" w:cs="Calibri"/>
          <w:b/>
          <w:sz w:val="20"/>
          <w:szCs w:val="20"/>
        </w:rPr>
        <w:t>María Sánchez-Girón</w:t>
      </w:r>
    </w:p>
    <w:p w14:paraId="77944078" w14:textId="77777777" w:rsidR="00F233B2" w:rsidRDefault="00F233B2" w:rsidP="00F233B2">
      <w:pPr>
        <w:spacing w:after="0" w:line="240" w:lineRule="auto"/>
        <w:jc w:val="right"/>
        <w:rPr>
          <w:rFonts w:ascii="Calibri" w:eastAsia="Calibri" w:hAnsi="Calibri" w:cs="Calibri"/>
          <w:sz w:val="20"/>
          <w:szCs w:val="20"/>
        </w:rPr>
      </w:pPr>
      <w:r>
        <w:rPr>
          <w:rFonts w:ascii="Calibri" w:eastAsia="Calibri" w:hAnsi="Calibri" w:cs="Calibri"/>
          <w:sz w:val="20"/>
          <w:szCs w:val="20"/>
        </w:rPr>
        <w:t>maria.sanchez-giron@newlink-group.com</w:t>
      </w:r>
    </w:p>
    <w:p w14:paraId="0D7A2F83" w14:textId="77777777" w:rsidR="00F233B2" w:rsidRDefault="00F233B2" w:rsidP="00F233B2">
      <w:pPr>
        <w:spacing w:after="0" w:line="240" w:lineRule="auto"/>
        <w:jc w:val="right"/>
        <w:rPr>
          <w:rFonts w:ascii="Calibri" w:eastAsia="Calibri" w:hAnsi="Calibri" w:cs="Calibri"/>
          <w:sz w:val="20"/>
          <w:szCs w:val="20"/>
        </w:rPr>
      </w:pPr>
      <w:r>
        <w:rPr>
          <w:rFonts w:ascii="Calibri" w:eastAsia="Calibri" w:hAnsi="Calibri" w:cs="Calibri"/>
          <w:sz w:val="20"/>
          <w:szCs w:val="20"/>
        </w:rPr>
        <w:t>+34 653 125 545</w:t>
      </w:r>
    </w:p>
    <w:p w14:paraId="6E578966" w14:textId="77777777" w:rsidR="001F172C" w:rsidRDefault="001F172C"/>
    <w:sectPr w:rsidR="001F172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F902" w14:textId="77777777" w:rsidR="00501E3E" w:rsidRDefault="00501E3E" w:rsidP="00501E3E">
      <w:pPr>
        <w:spacing w:after="0" w:line="240" w:lineRule="auto"/>
      </w:pPr>
      <w:r>
        <w:separator/>
      </w:r>
    </w:p>
  </w:endnote>
  <w:endnote w:type="continuationSeparator" w:id="0">
    <w:p w14:paraId="47E087B3" w14:textId="77777777" w:rsidR="00501E3E" w:rsidRDefault="00501E3E" w:rsidP="0050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3D79" w14:textId="77777777" w:rsidR="00501E3E" w:rsidRDefault="00501E3E" w:rsidP="00501E3E">
      <w:pPr>
        <w:spacing w:after="0" w:line="240" w:lineRule="auto"/>
      </w:pPr>
      <w:r>
        <w:separator/>
      </w:r>
    </w:p>
  </w:footnote>
  <w:footnote w:type="continuationSeparator" w:id="0">
    <w:p w14:paraId="7E15EFCB" w14:textId="77777777" w:rsidR="00501E3E" w:rsidRDefault="00501E3E" w:rsidP="0050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AEAD" w14:textId="396B557E" w:rsidR="00501E3E" w:rsidRDefault="00501E3E" w:rsidP="00501E3E">
    <w:pPr>
      <w:pStyle w:val="Encabezado"/>
      <w:jc w:val="center"/>
    </w:pPr>
    <w:r>
      <w:rPr>
        <w:rFonts w:ascii="Calibri" w:eastAsia="Calibri" w:hAnsi="Calibri" w:cs="Calibri"/>
        <w:noProof/>
        <w:color w:val="000000"/>
        <w:sz w:val="22"/>
        <w:szCs w:val="22"/>
      </w:rPr>
      <w:drawing>
        <wp:inline distT="0" distB="0" distL="0" distR="0" wp14:anchorId="65BB9AAA" wp14:editId="69294811">
          <wp:extent cx="1578610" cy="621030"/>
          <wp:effectExtent l="0" t="0" r="0" b="0"/>
          <wp:docPr id="1496951767"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 nombre de la empresa&#10;&#10;Descripción generada automáticamente"/>
                  <pic:cNvPicPr preferRelativeResize="0"/>
                </pic:nvPicPr>
                <pic:blipFill>
                  <a:blip r:embed="rId1"/>
                  <a:srcRect/>
                  <a:stretch>
                    <a:fillRect/>
                  </a:stretch>
                </pic:blipFill>
                <pic:spPr>
                  <a:xfrm>
                    <a:off x="0" y="0"/>
                    <a:ext cx="1578610" cy="6210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4B82"/>
    <w:multiLevelType w:val="multilevel"/>
    <w:tmpl w:val="0192A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401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4F"/>
    <w:rsid w:val="001443B8"/>
    <w:rsid w:val="001F172C"/>
    <w:rsid w:val="003E1D4F"/>
    <w:rsid w:val="00501E3E"/>
    <w:rsid w:val="00BA40D4"/>
    <w:rsid w:val="00DB75B4"/>
    <w:rsid w:val="00F233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9905"/>
  <w15:chartTrackingRefBased/>
  <w15:docId w15:val="{6866D5CF-9502-41E9-B99F-D5A9EEEF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B2"/>
    <w:rPr>
      <w:rFonts w:ascii="Aptos" w:eastAsia="Aptos" w:hAnsi="Aptos" w:cs="Aptos"/>
      <w:kern w:val="0"/>
      <w:lang w:eastAsia="es-ES"/>
      <w14:ligatures w14:val="none"/>
    </w:rPr>
  </w:style>
  <w:style w:type="paragraph" w:styleId="Ttulo1">
    <w:name w:val="heading 1"/>
    <w:basedOn w:val="Normal"/>
    <w:next w:val="Normal"/>
    <w:link w:val="Ttulo1Car"/>
    <w:uiPriority w:val="9"/>
    <w:qFormat/>
    <w:rsid w:val="003E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1D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1D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1D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1D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1D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1D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1D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1D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1D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1D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1D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1D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1D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1D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1D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1D4F"/>
    <w:rPr>
      <w:rFonts w:eastAsiaTheme="majorEastAsia" w:cstheme="majorBidi"/>
      <w:color w:val="272727" w:themeColor="text1" w:themeTint="D8"/>
    </w:rPr>
  </w:style>
  <w:style w:type="paragraph" w:styleId="Ttulo">
    <w:name w:val="Title"/>
    <w:basedOn w:val="Normal"/>
    <w:next w:val="Normal"/>
    <w:link w:val="TtuloCar"/>
    <w:uiPriority w:val="10"/>
    <w:qFormat/>
    <w:rsid w:val="003E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1D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1D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1D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1D4F"/>
    <w:pPr>
      <w:spacing w:before="160"/>
      <w:jc w:val="center"/>
    </w:pPr>
    <w:rPr>
      <w:i/>
      <w:iCs/>
      <w:color w:val="404040" w:themeColor="text1" w:themeTint="BF"/>
    </w:rPr>
  </w:style>
  <w:style w:type="character" w:customStyle="1" w:styleId="CitaCar">
    <w:name w:val="Cita Car"/>
    <w:basedOn w:val="Fuentedeprrafopredeter"/>
    <w:link w:val="Cita"/>
    <w:uiPriority w:val="29"/>
    <w:rsid w:val="003E1D4F"/>
    <w:rPr>
      <w:i/>
      <w:iCs/>
      <w:color w:val="404040" w:themeColor="text1" w:themeTint="BF"/>
    </w:rPr>
  </w:style>
  <w:style w:type="paragraph" w:styleId="Prrafodelista">
    <w:name w:val="List Paragraph"/>
    <w:basedOn w:val="Normal"/>
    <w:uiPriority w:val="34"/>
    <w:qFormat/>
    <w:rsid w:val="003E1D4F"/>
    <w:pPr>
      <w:ind w:left="720"/>
      <w:contextualSpacing/>
    </w:pPr>
  </w:style>
  <w:style w:type="character" w:styleId="nfasisintenso">
    <w:name w:val="Intense Emphasis"/>
    <w:basedOn w:val="Fuentedeprrafopredeter"/>
    <w:uiPriority w:val="21"/>
    <w:qFormat/>
    <w:rsid w:val="003E1D4F"/>
    <w:rPr>
      <w:i/>
      <w:iCs/>
      <w:color w:val="0F4761" w:themeColor="accent1" w:themeShade="BF"/>
    </w:rPr>
  </w:style>
  <w:style w:type="paragraph" w:styleId="Citadestacada">
    <w:name w:val="Intense Quote"/>
    <w:basedOn w:val="Normal"/>
    <w:next w:val="Normal"/>
    <w:link w:val="CitadestacadaCar"/>
    <w:uiPriority w:val="30"/>
    <w:qFormat/>
    <w:rsid w:val="003E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1D4F"/>
    <w:rPr>
      <w:i/>
      <w:iCs/>
      <w:color w:val="0F4761" w:themeColor="accent1" w:themeShade="BF"/>
    </w:rPr>
  </w:style>
  <w:style w:type="character" w:styleId="Referenciaintensa">
    <w:name w:val="Intense Reference"/>
    <w:basedOn w:val="Fuentedeprrafopredeter"/>
    <w:uiPriority w:val="32"/>
    <w:qFormat/>
    <w:rsid w:val="003E1D4F"/>
    <w:rPr>
      <w:b/>
      <w:bCs/>
      <w:smallCaps/>
      <w:color w:val="0F4761" w:themeColor="accent1" w:themeShade="BF"/>
      <w:spacing w:val="5"/>
    </w:rPr>
  </w:style>
  <w:style w:type="paragraph" w:styleId="Encabezado">
    <w:name w:val="header"/>
    <w:basedOn w:val="Normal"/>
    <w:link w:val="EncabezadoCar"/>
    <w:uiPriority w:val="99"/>
    <w:unhideWhenUsed/>
    <w:rsid w:val="00501E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1E3E"/>
  </w:style>
  <w:style w:type="paragraph" w:styleId="Piedepgina">
    <w:name w:val="footer"/>
    <w:basedOn w:val="Normal"/>
    <w:link w:val="PiedepginaCar"/>
    <w:uiPriority w:val="99"/>
    <w:unhideWhenUsed/>
    <w:rsid w:val="00501E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arephenix.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3</cp:revision>
  <dcterms:created xsi:type="dcterms:W3CDTF">2025-06-04T08:14:00Z</dcterms:created>
  <dcterms:modified xsi:type="dcterms:W3CDTF">2025-06-04T08:14:00Z</dcterms:modified>
</cp:coreProperties>
</file>