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AE14B"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center"/>
        <w:rPr>
          <w:rFonts w:ascii="Montserrat" w:eastAsia="Montserrat" w:hAnsi="Montserrat" w:cs="Montserrat"/>
          <w:b/>
          <w:color w:val="E30513"/>
          <w:sz w:val="40"/>
          <w:szCs w:val="40"/>
        </w:rPr>
      </w:pPr>
      <w:proofErr w:type="spellStart"/>
      <w:r>
        <w:rPr>
          <w:rFonts w:ascii="Montserrat" w:eastAsia="Montserrat" w:hAnsi="Montserrat" w:cs="Montserrat"/>
          <w:b/>
          <w:color w:val="E30513"/>
          <w:sz w:val="40"/>
          <w:szCs w:val="40"/>
        </w:rPr>
        <w:t>bp</w:t>
      </w:r>
      <w:proofErr w:type="spellEnd"/>
      <w:r>
        <w:rPr>
          <w:rFonts w:ascii="Montserrat" w:eastAsia="Montserrat" w:hAnsi="Montserrat" w:cs="Montserrat"/>
          <w:b/>
          <w:color w:val="E30513"/>
          <w:sz w:val="40"/>
          <w:szCs w:val="40"/>
        </w:rPr>
        <w:t xml:space="preserve"> y Dia se unen para ampliar su oferta en estaciones de servicio y supermercados en España</w:t>
      </w:r>
    </w:p>
    <w:p w14:paraId="710AE14C"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ind w:right="-409"/>
        <w:jc w:val="both"/>
        <w:rPr>
          <w:rFonts w:ascii="Montserrat" w:eastAsia="Montserrat" w:hAnsi="Montserrat" w:cs="Montserrat"/>
          <w:b/>
          <w:color w:val="222222"/>
        </w:rPr>
      </w:pPr>
      <w:r>
        <w:rPr>
          <w:rFonts w:ascii="Montserrat" w:eastAsia="Montserrat" w:hAnsi="Montserrat" w:cs="Montserrat"/>
          <w:b/>
          <w:color w:val="FF0000"/>
        </w:rPr>
        <w:t>/</w:t>
      </w:r>
      <w:r>
        <w:rPr>
          <w:rFonts w:ascii="Montserrat" w:eastAsia="Montserrat" w:hAnsi="Montserrat" w:cs="Montserrat"/>
          <w:b/>
          <w:color w:val="222222"/>
        </w:rPr>
        <w:t xml:space="preserve"> El acuerdo arrancará con un programa piloto en el mes de septiembre para la instalación de 10 supermercados Dia en estaciones de servicio de </w:t>
      </w:r>
      <w:proofErr w:type="spellStart"/>
      <w:r>
        <w:rPr>
          <w:rFonts w:ascii="Montserrat" w:eastAsia="Montserrat" w:hAnsi="Montserrat" w:cs="Montserrat"/>
          <w:b/>
          <w:color w:val="222222"/>
        </w:rPr>
        <w:t>bp</w:t>
      </w:r>
      <w:proofErr w:type="spellEnd"/>
      <w:r>
        <w:rPr>
          <w:rFonts w:ascii="Montserrat" w:eastAsia="Montserrat" w:hAnsi="Montserrat" w:cs="Montserrat"/>
          <w:b/>
          <w:color w:val="222222"/>
        </w:rPr>
        <w:t xml:space="preserve"> en la Comunidad de Madrid y Andalucía.</w:t>
      </w:r>
    </w:p>
    <w:p w14:paraId="710AE14D"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ind w:right="-409"/>
        <w:jc w:val="both"/>
        <w:rPr>
          <w:rFonts w:ascii="Montserrat" w:eastAsia="Montserrat" w:hAnsi="Montserrat" w:cs="Montserrat"/>
          <w:b/>
          <w:color w:val="222222"/>
        </w:rPr>
      </w:pPr>
      <w:r>
        <w:rPr>
          <w:rFonts w:ascii="Montserrat" w:eastAsia="Montserrat" w:hAnsi="Montserrat" w:cs="Montserrat"/>
          <w:b/>
          <w:color w:val="FF0000"/>
        </w:rPr>
        <w:t>/</w:t>
      </w:r>
      <w:r>
        <w:rPr>
          <w:rFonts w:ascii="Montserrat" w:eastAsia="Montserrat" w:hAnsi="Montserrat" w:cs="Montserrat"/>
          <w:b/>
          <w:color w:val="222222"/>
        </w:rPr>
        <w:t xml:space="preserve"> También en septiembre se activará una oferta de fidelización conjunta que permitirá acumular saldo al repostar en 285 estaciones de servicio </w:t>
      </w:r>
      <w:proofErr w:type="spellStart"/>
      <w:r>
        <w:rPr>
          <w:rFonts w:ascii="Montserrat" w:eastAsia="Montserrat" w:hAnsi="Montserrat" w:cs="Montserrat"/>
          <w:b/>
          <w:color w:val="222222"/>
        </w:rPr>
        <w:t>bp</w:t>
      </w:r>
      <w:proofErr w:type="spellEnd"/>
      <w:r>
        <w:rPr>
          <w:rFonts w:ascii="Montserrat" w:eastAsia="Montserrat" w:hAnsi="Montserrat" w:cs="Montserrat"/>
          <w:b/>
          <w:color w:val="222222"/>
        </w:rPr>
        <w:t xml:space="preserve"> y al hacer la compra en 950 tiendas Dia.</w:t>
      </w:r>
    </w:p>
    <w:p w14:paraId="710AE14E" w14:textId="77777777" w:rsidR="007132BB" w:rsidRDefault="007132B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ind w:right="-409"/>
        <w:jc w:val="both"/>
        <w:rPr>
          <w:rFonts w:ascii="Montserrat" w:eastAsia="Montserrat" w:hAnsi="Montserrat" w:cs="Montserrat"/>
          <w:b/>
          <w:color w:val="222222"/>
        </w:rPr>
      </w:pPr>
    </w:p>
    <w:p w14:paraId="710AE14F"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b/>
          <w:color w:val="222222"/>
        </w:rPr>
        <w:t xml:space="preserve">15 de julio de 2025, </w:t>
      </w:r>
      <w:r>
        <w:rPr>
          <w:rFonts w:ascii="Montserrat" w:eastAsia="Montserrat" w:hAnsi="Montserrat" w:cs="Montserrat"/>
          <w:b/>
          <w:color w:val="222222"/>
          <w:highlight w:val="white"/>
        </w:rPr>
        <w:t xml:space="preserve">Madrid. </w:t>
      </w:r>
      <w:r>
        <w:rPr>
          <w:rFonts w:ascii="Montserrat" w:eastAsia="Montserrat" w:hAnsi="Montserrat" w:cs="Montserrat"/>
          <w:color w:val="222222"/>
        </w:rPr>
        <w:t xml:space="preserve">Estaciones de servicio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albergarán tiendas Dia gracias al acuerdo alcanzado entre la empresa energética y la red líder de supermercados de proximidad. Asimismo, ambas empresas pondrán en marcha una oferta cruzada de fidelización con múltiples beneficios, incluyendo descuentos en compras y carburantes.  </w:t>
      </w:r>
    </w:p>
    <w:p w14:paraId="710AE150"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El acuerdo arrancará con un programa piloto que dará comienzo en el mes de septiembre con la instalación progresiva de 10 tiendas Dia en estaciones de servicio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en la Comunidad de Madrid y Andalucía. Los establecimientos operarán bajo la marca Dia y con un concepto de tienda práctica y accesible, en la cual los clientes podrán realizar una compra rápida, cómoda y de máxima calidad a precios asequibles en las ubicaciones más convenientes. Como en el resto de las tiendas Dia, en los supermercados ubicados en las estaciones de servicio, los clientes podrán encontrar un surtido variado y  equilibrado entre productos Dia y las principales marcas de fabricante. </w:t>
      </w:r>
    </w:p>
    <w:p w14:paraId="710AE151"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b/>
          <w:color w:val="E30513"/>
        </w:rPr>
      </w:pPr>
      <w:r>
        <w:rPr>
          <w:rFonts w:ascii="Montserrat" w:eastAsia="Montserrat" w:hAnsi="Montserrat" w:cs="Montserrat"/>
          <w:b/>
          <w:color w:val="E30513"/>
        </w:rPr>
        <w:t xml:space="preserve">Conveniencia, accesibilidad y un nuevo programa de fidelización  </w:t>
      </w:r>
    </w:p>
    <w:p w14:paraId="710AE152"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También en el mes de septiembre se activará la oferta de fidelización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y Dia, que permitirá acumular saldo al repostar o al hacer la compra. En una primera fase, se aplicará en 285 estaciones de servicio de la red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y 950 tiendas Dia, ubicadas en la Comunidad de Madrid y Andalucía. ​     ​ </w:t>
      </w:r>
    </w:p>
    <w:p w14:paraId="710AE153"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A través de esta oferta de fidelización conjunta, los clientes que realicen un consumo de 30 litros en estaciones de servicio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serán recompensados con un euro para utilizar en sus compras en Dia. De la misma forma, aquellos que alcancen un consumo de 30 euros en estas tiendas Dia podrán obtener un euro de descuento para su repostaje de combustible.  </w:t>
      </w:r>
    </w:p>
    <w:p w14:paraId="710AE154"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i/>
          <w:color w:val="222222"/>
        </w:rPr>
        <w:t xml:space="preserve">“En </w:t>
      </w:r>
      <w:proofErr w:type="spellStart"/>
      <w:r>
        <w:rPr>
          <w:rFonts w:ascii="Montserrat" w:eastAsia="Montserrat" w:hAnsi="Montserrat" w:cs="Montserrat"/>
          <w:i/>
          <w:color w:val="222222"/>
        </w:rPr>
        <w:t>bp</w:t>
      </w:r>
      <w:proofErr w:type="spellEnd"/>
      <w:r>
        <w:rPr>
          <w:rFonts w:ascii="Montserrat" w:eastAsia="Montserrat" w:hAnsi="Montserrat" w:cs="Montserrat"/>
          <w:i/>
          <w:color w:val="222222"/>
        </w:rPr>
        <w:t xml:space="preserve"> queremos ser la primera opción para nuestros consumidores y siempre buscamos nuevas formas de satisfacer sus necesidades energéticas y de conveniencia, dándoles lo que quieren, cuando y donde lo deseen. Acuerdos que nos permiten unir fuerzas con marcas de supermercados de renombre como Dia nos ayudan a complementar nuestra amplia oferta de la mano de un socio de primer nivel”</w:t>
      </w:r>
      <w:r>
        <w:rPr>
          <w:rFonts w:ascii="Montserrat" w:eastAsia="Montserrat" w:hAnsi="Montserrat" w:cs="Montserrat"/>
          <w:color w:val="222222"/>
        </w:rPr>
        <w:t>, ha explicado</w:t>
      </w:r>
      <w:r>
        <w:rPr>
          <w:rFonts w:ascii="Montserrat" w:eastAsia="Montserrat" w:hAnsi="Montserrat" w:cs="Montserrat"/>
          <w:b/>
          <w:color w:val="222222"/>
        </w:rPr>
        <w:t xml:space="preserve"> Olvido Moraleda, presidenta de </w:t>
      </w:r>
      <w:proofErr w:type="spellStart"/>
      <w:r>
        <w:rPr>
          <w:rFonts w:ascii="Montserrat" w:eastAsia="Montserrat" w:hAnsi="Montserrat" w:cs="Montserrat"/>
          <w:b/>
          <w:color w:val="222222"/>
        </w:rPr>
        <w:t>bp</w:t>
      </w:r>
      <w:proofErr w:type="spellEnd"/>
      <w:r>
        <w:rPr>
          <w:rFonts w:ascii="Montserrat" w:eastAsia="Montserrat" w:hAnsi="Montserrat" w:cs="Montserrat"/>
          <w:b/>
          <w:color w:val="222222"/>
        </w:rPr>
        <w:t xml:space="preserve"> Energía España</w:t>
      </w:r>
      <w:r>
        <w:rPr>
          <w:rFonts w:ascii="Montserrat" w:eastAsia="Montserrat" w:hAnsi="Montserrat" w:cs="Montserrat"/>
          <w:color w:val="222222"/>
        </w:rPr>
        <w:t xml:space="preserve">.  </w:t>
      </w:r>
    </w:p>
    <w:p w14:paraId="710AE155"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i/>
          <w:color w:val="222222"/>
        </w:rPr>
        <w:t xml:space="preserve">“Para Dia es fundamental estar donde y cuando nuestro cliente nos necesita y ofrecerle una compra ágil, accesible y de máxima calidad. Este acuerdo con </w:t>
      </w:r>
      <w:proofErr w:type="spellStart"/>
      <w:r>
        <w:rPr>
          <w:rFonts w:ascii="Montserrat" w:eastAsia="Montserrat" w:hAnsi="Montserrat" w:cs="Montserrat"/>
          <w:i/>
          <w:color w:val="222222"/>
        </w:rPr>
        <w:t>bp</w:t>
      </w:r>
      <w:proofErr w:type="spellEnd"/>
      <w:r>
        <w:rPr>
          <w:rFonts w:ascii="Montserrat" w:eastAsia="Montserrat" w:hAnsi="Montserrat" w:cs="Montserrat"/>
          <w:i/>
          <w:color w:val="222222"/>
        </w:rPr>
        <w:t xml:space="preserve"> es un paso más para fortalecer nuestro crecimiento, facilitando el poder hacer la compra mientras se para a repostar y beneficiarse de un programa de fidelización que permitirá ahorrar tanto en las compras Dia como en combustible. Para nosotros es un honor unirnos a una marca tan prestigiosa como </w:t>
      </w:r>
      <w:proofErr w:type="spellStart"/>
      <w:r>
        <w:rPr>
          <w:rFonts w:ascii="Montserrat" w:eastAsia="Montserrat" w:hAnsi="Montserrat" w:cs="Montserrat"/>
          <w:i/>
          <w:color w:val="222222"/>
        </w:rPr>
        <w:t>bp</w:t>
      </w:r>
      <w:proofErr w:type="spellEnd"/>
      <w:r>
        <w:rPr>
          <w:rFonts w:ascii="Montserrat" w:eastAsia="Montserrat" w:hAnsi="Montserrat" w:cs="Montserrat"/>
          <w:color w:val="222222"/>
        </w:rPr>
        <w:t xml:space="preserve">”, dijo </w:t>
      </w:r>
      <w:r>
        <w:rPr>
          <w:rFonts w:ascii="Montserrat" w:eastAsia="Montserrat" w:hAnsi="Montserrat" w:cs="Montserrat"/>
          <w:b/>
          <w:color w:val="222222"/>
        </w:rPr>
        <w:t>Ricardo Álvarez, CEO de Dia España</w:t>
      </w:r>
      <w:r>
        <w:rPr>
          <w:rFonts w:ascii="Montserrat" w:eastAsia="Montserrat" w:hAnsi="Montserrat" w:cs="Montserrat"/>
          <w:color w:val="222222"/>
        </w:rPr>
        <w:t xml:space="preserve">.  </w:t>
      </w:r>
    </w:p>
    <w:p w14:paraId="710AE156"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Según los resultados que se obtengan en las pruebas piloto y en los primeros meses de implementación de la oferta de fidelización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y Dia, el acuerdo podría extenderse a otras comunidades autónomas. </w:t>
      </w:r>
    </w:p>
    <w:p w14:paraId="710AE157"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​​Las estaciones de servicio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ofrecen una amplia oferta de servicios como el lavado de coches, conveniencia y una excelente restauración con el respaldo de herramientas digitales y atractivos programas de fidelización. Sus combustibles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Ultimate con tecnología ACTIVE está especialmente diseñados para eliminar la suciedad y proteger contra su acumulación tanto en motores de gasolina como diésel. ​ </w:t>
      </w:r>
    </w:p>
    <w:p w14:paraId="710AE158"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​​​Este acuerdo está en línea con la estrategia de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de centrarse en el sector del ’</w:t>
      </w:r>
      <w:proofErr w:type="spellStart"/>
      <w:r>
        <w:rPr>
          <w:rFonts w:ascii="Montserrat" w:eastAsia="Montserrat" w:hAnsi="Montserrat" w:cs="Montserrat"/>
          <w:color w:val="222222"/>
        </w:rPr>
        <w:t>downstream</w:t>
      </w:r>
      <w:proofErr w:type="spellEnd"/>
      <w:r>
        <w:rPr>
          <w:rFonts w:ascii="Montserrat" w:eastAsia="Montserrat" w:hAnsi="Montserrat" w:cs="Montserrat"/>
          <w:color w:val="222222"/>
        </w:rPr>
        <w:t xml:space="preserve">’ mediante la mejora de su cartera y la creación de posiciones integradas de liderazgo en los mercados en los que participa. La alianza de Dia con </w:t>
      </w:r>
      <w:proofErr w:type="spellStart"/>
      <w:r>
        <w:rPr>
          <w:rFonts w:ascii="Montserrat" w:eastAsia="Montserrat" w:hAnsi="Montserrat" w:cs="Montserrat"/>
          <w:color w:val="222222"/>
        </w:rPr>
        <w:t>bp</w:t>
      </w:r>
      <w:proofErr w:type="spellEnd"/>
      <w:r>
        <w:rPr>
          <w:rFonts w:ascii="Montserrat" w:eastAsia="Montserrat" w:hAnsi="Montserrat" w:cs="Montserrat"/>
          <w:color w:val="222222"/>
        </w:rPr>
        <w:t xml:space="preserve"> en la España peninsular se suma a las alianzas de conveniencia existentes con cadenas minoristas líderes en otras ubicaciones como las Islas Canarias con </w:t>
      </w:r>
      <w:proofErr w:type="spellStart"/>
      <w:r>
        <w:rPr>
          <w:rFonts w:ascii="Montserrat" w:eastAsia="Montserrat" w:hAnsi="Montserrat" w:cs="Montserrat"/>
          <w:color w:val="222222"/>
        </w:rPr>
        <w:t>HiperDino</w:t>
      </w:r>
      <w:proofErr w:type="spellEnd"/>
      <w:r>
        <w:rPr>
          <w:rFonts w:ascii="Montserrat" w:eastAsia="Montserrat" w:hAnsi="Montserrat" w:cs="Montserrat"/>
          <w:color w:val="222222"/>
        </w:rPr>
        <w:t xml:space="preserve"> y otros mercados europeos, incluidos Pingo Doce en Portugal, M&amp;S </w:t>
      </w:r>
      <w:proofErr w:type="spellStart"/>
      <w:r>
        <w:rPr>
          <w:rFonts w:ascii="Montserrat" w:eastAsia="Montserrat" w:hAnsi="Montserrat" w:cs="Montserrat"/>
          <w:color w:val="222222"/>
        </w:rPr>
        <w:t>Food</w:t>
      </w:r>
      <w:proofErr w:type="spellEnd"/>
      <w:r>
        <w:rPr>
          <w:rFonts w:ascii="Montserrat" w:eastAsia="Montserrat" w:hAnsi="Montserrat" w:cs="Montserrat"/>
          <w:color w:val="222222"/>
        </w:rPr>
        <w:t xml:space="preserve"> en el Reino Unido y REWE-</w:t>
      </w:r>
      <w:proofErr w:type="spellStart"/>
      <w:r>
        <w:rPr>
          <w:rFonts w:ascii="Montserrat" w:eastAsia="Montserrat" w:hAnsi="Montserrat" w:cs="Montserrat"/>
          <w:color w:val="222222"/>
        </w:rPr>
        <w:t>To</w:t>
      </w:r>
      <w:proofErr w:type="spellEnd"/>
      <w:r>
        <w:rPr>
          <w:rFonts w:ascii="Montserrat" w:eastAsia="Montserrat" w:hAnsi="Montserrat" w:cs="Montserrat"/>
          <w:color w:val="222222"/>
        </w:rPr>
        <w:t>-</w:t>
      </w:r>
      <w:proofErr w:type="spellStart"/>
      <w:r>
        <w:rPr>
          <w:rFonts w:ascii="Montserrat" w:eastAsia="Montserrat" w:hAnsi="Montserrat" w:cs="Montserrat"/>
          <w:color w:val="222222"/>
        </w:rPr>
        <w:t>Go</w:t>
      </w:r>
      <w:proofErr w:type="spellEnd"/>
      <w:r>
        <w:rPr>
          <w:rFonts w:ascii="Montserrat" w:eastAsia="Montserrat" w:hAnsi="Montserrat" w:cs="Montserrat"/>
          <w:color w:val="222222"/>
        </w:rPr>
        <w:t xml:space="preserve"> en Alemania.​ </w:t>
      </w:r>
    </w:p>
    <w:p w14:paraId="710AE159" w14:textId="77777777" w:rsidR="007132BB" w:rsidRDefault="00AC128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line="276" w:lineRule="auto"/>
        <w:ind w:right="-409"/>
        <w:jc w:val="both"/>
        <w:rPr>
          <w:rFonts w:ascii="Montserrat" w:eastAsia="Montserrat" w:hAnsi="Montserrat" w:cs="Montserrat"/>
          <w:color w:val="222222"/>
        </w:rPr>
      </w:pPr>
      <w:r>
        <w:rPr>
          <w:rFonts w:ascii="Montserrat" w:eastAsia="Montserrat" w:hAnsi="Montserrat" w:cs="Montserrat"/>
          <w:color w:val="222222"/>
        </w:rPr>
        <w:t xml:space="preserve">​​​Dia facilita una experiencia de compra fácil, rápida y completa, cerca de casa y con productos de máxima calidad a un precio asequible, tanto en sus más de 2.300 tiendas físicas como en su canal online, que actualmente llega al 84% de la población en España.  </w:t>
      </w:r>
    </w:p>
    <w:p w14:paraId="710AE15A" w14:textId="77777777" w:rsidR="007132BB" w:rsidRDefault="007132BB">
      <w:pPr>
        <w:spacing w:after="120"/>
        <w:ind w:right="-409"/>
        <w:jc w:val="both"/>
        <w:rPr>
          <w:rFonts w:ascii="Montserrat" w:eastAsia="Montserrat" w:hAnsi="Montserrat" w:cs="Montserrat"/>
          <w:b/>
          <w:color w:val="E30513"/>
          <w:sz w:val="20"/>
          <w:szCs w:val="20"/>
        </w:rPr>
      </w:pPr>
    </w:p>
    <w:p w14:paraId="710AE15B" w14:textId="77777777" w:rsidR="007132BB" w:rsidRDefault="00AC1289">
      <w:pPr>
        <w:spacing w:after="120"/>
        <w:ind w:right="-409"/>
        <w:jc w:val="both"/>
      </w:pPr>
      <w:r>
        <w:rPr>
          <w:rFonts w:ascii="Montserrat" w:eastAsia="Montserrat" w:hAnsi="Montserrat" w:cs="Montserrat"/>
          <w:b/>
          <w:color w:val="E30513"/>
          <w:sz w:val="20"/>
          <w:szCs w:val="20"/>
        </w:rPr>
        <w:t>Sobre Grupo Dia</w:t>
      </w:r>
    </w:p>
    <w:p w14:paraId="710AE15C" w14:textId="77777777" w:rsidR="007132BB" w:rsidRDefault="00AC1289">
      <w:pPr>
        <w:spacing w:after="120"/>
        <w:ind w:right="-409"/>
        <w:jc w:val="both"/>
      </w:pPr>
      <w:r>
        <w:rPr>
          <w:rFonts w:ascii="Montserrat" w:eastAsia="Montserrat" w:hAnsi="Montserrat" w:cs="Montserrat"/>
          <w:b/>
          <w:color w:val="E30513"/>
          <w:sz w:val="16"/>
          <w:szCs w:val="16"/>
        </w:rPr>
        <w:t>Cada día más cerca</w:t>
      </w:r>
    </w:p>
    <w:p w14:paraId="710AE15D" w14:textId="77777777" w:rsidR="007132BB" w:rsidRDefault="00AC1289">
      <w:pPr>
        <w:ind w:right="-409"/>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710AE15E" w14:textId="77777777" w:rsidR="007132BB" w:rsidRDefault="007132BB">
      <w:pPr>
        <w:ind w:right="-409"/>
        <w:jc w:val="both"/>
        <w:rPr>
          <w:rFonts w:ascii="Montserrat" w:eastAsia="Montserrat" w:hAnsi="Montserrat" w:cs="Montserrat"/>
          <w:color w:val="222222"/>
          <w:sz w:val="16"/>
          <w:szCs w:val="16"/>
        </w:rPr>
      </w:pPr>
    </w:p>
    <w:p w14:paraId="710AE15F" w14:textId="77777777" w:rsidR="007132BB" w:rsidRDefault="00AC1289">
      <w:pPr>
        <w:ind w:right="-409"/>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14:paraId="710AE160" w14:textId="77777777" w:rsidR="007132BB" w:rsidRDefault="007132BB">
      <w:pPr>
        <w:ind w:right="-409"/>
        <w:jc w:val="both"/>
        <w:rPr>
          <w:rFonts w:ascii="Montserrat" w:eastAsia="Montserrat" w:hAnsi="Montserrat" w:cs="Montserrat"/>
          <w:color w:val="222222"/>
          <w:sz w:val="16"/>
          <w:szCs w:val="16"/>
        </w:rPr>
      </w:pPr>
    </w:p>
    <w:p w14:paraId="710AE161" w14:textId="77777777" w:rsidR="007132BB" w:rsidRDefault="00AC1289">
      <w:pPr>
        <w:ind w:right="-409"/>
        <w:jc w:val="both"/>
        <w:rPr>
          <w:rFonts w:ascii="Montserrat" w:eastAsia="Montserrat" w:hAnsi="Montserrat" w:cs="Montserrat"/>
          <w:sz w:val="14"/>
          <w:szCs w:val="14"/>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710AE162" w14:textId="77777777" w:rsidR="007132BB" w:rsidRDefault="007132BB">
      <w:pPr>
        <w:tabs>
          <w:tab w:val="center" w:pos="4252"/>
          <w:tab w:val="right" w:pos="8504"/>
        </w:tabs>
        <w:ind w:right="-409"/>
        <w:rPr>
          <w:rFonts w:ascii="Montserrat" w:eastAsia="Montserrat" w:hAnsi="Montserrat" w:cs="Montserrat"/>
          <w:sz w:val="14"/>
          <w:szCs w:val="14"/>
        </w:rPr>
      </w:pPr>
    </w:p>
    <w:p w14:paraId="710AE163" w14:textId="54718F62" w:rsidR="007132BB" w:rsidRPr="00AC1289" w:rsidRDefault="00AC1289">
      <w:pPr>
        <w:jc w:val="center"/>
        <w:rPr>
          <w:lang w:val="pt-PT"/>
        </w:rPr>
      </w:pPr>
      <w:r w:rsidRPr="00AC1289">
        <w:rPr>
          <w:rFonts w:ascii="Montserrat" w:eastAsia="Montserrat" w:hAnsi="Montserrat" w:cs="Montserrat"/>
          <w:b/>
          <w:color w:val="0000FF"/>
          <w:sz w:val="16"/>
          <w:szCs w:val="16"/>
          <w:highlight w:val="white"/>
          <w:u w:val="single"/>
          <w:lang w:val="pt-PT"/>
        </w:rPr>
        <w:t>https://diacorporate.com/</w:t>
      </w:r>
      <w:r w:rsidRPr="00AC1289">
        <w:rPr>
          <w:rFonts w:ascii="Montserrat" w:eastAsia="Montserrat" w:hAnsi="Montserrat" w:cs="Montserrat"/>
          <w:color w:val="222222"/>
          <w:sz w:val="16"/>
          <w:szCs w:val="16"/>
          <w:highlight w:val="white"/>
          <w:lang w:val="pt-PT"/>
        </w:rPr>
        <w:tab/>
        <w:t xml:space="preserve">       </w:t>
      </w:r>
      <w:r w:rsidRPr="00AC1289">
        <w:rPr>
          <w:rFonts w:ascii="Montserrat" w:eastAsia="Montserrat" w:hAnsi="Montserrat" w:cs="Montserrat"/>
          <w:b/>
          <w:color w:val="E30513"/>
          <w:sz w:val="16"/>
          <w:szCs w:val="16"/>
          <w:highlight w:val="white"/>
          <w:lang w:val="pt-PT"/>
        </w:rPr>
        <w:t>#CadaDiaMásCerca</w:t>
      </w:r>
      <w:r w:rsidRPr="00AC1289">
        <w:rPr>
          <w:rFonts w:ascii="Montserrat" w:eastAsia="Montserrat" w:hAnsi="Montserrat" w:cs="Montserrat"/>
          <w:color w:val="222222"/>
          <w:sz w:val="16"/>
          <w:szCs w:val="16"/>
          <w:highlight w:val="white"/>
          <w:lang w:val="pt-PT"/>
        </w:rPr>
        <w:t xml:space="preserve">  </w:t>
      </w:r>
      <w:r w:rsidRPr="00AC1289">
        <w:rPr>
          <w:rFonts w:ascii="Montserrat" w:eastAsia="Montserrat" w:hAnsi="Montserrat" w:cs="Montserrat"/>
          <w:color w:val="222222"/>
          <w:sz w:val="16"/>
          <w:szCs w:val="16"/>
          <w:highlight w:val="white"/>
          <w:lang w:val="pt-PT"/>
        </w:rPr>
        <w:tab/>
        <w:t xml:space="preserve">  </w:t>
      </w:r>
      <w:r w:rsidRPr="00AC1289">
        <w:rPr>
          <w:rFonts w:ascii="Montserrat" w:eastAsia="Montserrat" w:hAnsi="Montserrat" w:cs="Montserrat"/>
          <w:b/>
          <w:color w:val="222222"/>
          <w:sz w:val="16"/>
          <w:szCs w:val="16"/>
          <w:highlight w:val="white"/>
          <w:lang w:val="pt-PT"/>
        </w:rPr>
        <w:t>Linkedin:</w:t>
      </w:r>
      <w:r w:rsidRPr="00AC1289">
        <w:rPr>
          <w:rFonts w:ascii="Montserrat" w:eastAsia="Montserrat" w:hAnsi="Montserrat" w:cs="Montserrat"/>
          <w:color w:val="222222"/>
          <w:sz w:val="16"/>
          <w:szCs w:val="16"/>
          <w:highlight w:val="white"/>
          <w:lang w:val="pt-PT"/>
        </w:rPr>
        <w:t xml:space="preserve"> </w:t>
      </w:r>
      <w:hyperlink r:id="rId11" w:history="1">
        <w:r w:rsidR="005111B0" w:rsidRPr="005111B0">
          <w:rPr>
            <w:rStyle w:val="Hipervnculo"/>
            <w:rFonts w:ascii="Montserrat" w:eastAsia="Montserrat" w:hAnsi="Montserrat" w:cs="Montserrat"/>
            <w:sz w:val="16"/>
            <w:szCs w:val="16"/>
            <w:lang w:val="pt-PT"/>
          </w:rPr>
          <w:t>Dia España</w:t>
        </w:r>
      </w:hyperlink>
    </w:p>
    <w:p w14:paraId="710AE164" w14:textId="77777777" w:rsidR="007132BB" w:rsidRPr="00AC1289" w:rsidRDefault="007132BB">
      <w:pPr>
        <w:jc w:val="center"/>
        <w:rPr>
          <w:lang w:val="pt-PT"/>
        </w:rPr>
      </w:pPr>
    </w:p>
    <w:p w14:paraId="710AE165" w14:textId="77777777" w:rsidR="007132BB" w:rsidRPr="00AC1289" w:rsidRDefault="007132BB">
      <w:pPr>
        <w:jc w:val="center"/>
        <w:rPr>
          <w:lang w:val="pt-PT"/>
        </w:rPr>
      </w:pPr>
    </w:p>
    <w:p w14:paraId="710AE166" w14:textId="77777777" w:rsidR="007132BB" w:rsidRDefault="00AC1289">
      <w:pPr>
        <w:rPr>
          <w:rFonts w:ascii="Montserrat" w:eastAsia="Montserrat" w:hAnsi="Montserrat" w:cs="Montserrat"/>
          <w:b/>
          <w:sz w:val="12"/>
          <w:szCs w:val="12"/>
          <w:u w:val="single"/>
        </w:rPr>
      </w:pPr>
      <w:r>
        <w:rPr>
          <w:rFonts w:ascii="Montserrat" w:eastAsia="Montserrat" w:hAnsi="Montserrat" w:cs="Montserrat"/>
          <w:b/>
          <w:sz w:val="16"/>
          <w:szCs w:val="16"/>
        </w:rPr>
        <w:t xml:space="preserve">Para más información: </w:t>
      </w:r>
    </w:p>
    <w:p w14:paraId="710AE167" w14:textId="77777777" w:rsidR="007132BB" w:rsidRDefault="007132BB">
      <w:pPr>
        <w:tabs>
          <w:tab w:val="center" w:pos="4252"/>
          <w:tab w:val="right" w:pos="8504"/>
        </w:tabs>
        <w:spacing w:after="120"/>
        <w:rPr>
          <w:rFonts w:ascii="Montserrat" w:eastAsia="Montserrat" w:hAnsi="Montserrat" w:cs="Montserrat"/>
          <w:sz w:val="16"/>
          <w:szCs w:val="16"/>
        </w:rPr>
      </w:pPr>
    </w:p>
    <w:p w14:paraId="710AE168" w14:textId="77777777" w:rsidR="007132BB" w:rsidRDefault="00AC1289">
      <w:pPr>
        <w:tabs>
          <w:tab w:val="center" w:pos="4252"/>
          <w:tab w:val="right" w:pos="8504"/>
        </w:tabs>
        <w:spacing w:after="120"/>
        <w:rPr>
          <w:rFonts w:ascii="Montserrat" w:eastAsia="Montserrat" w:hAnsi="Montserrat" w:cs="Montserrat"/>
          <w:sz w:val="16"/>
          <w:szCs w:val="16"/>
        </w:rPr>
      </w:pPr>
      <w:r>
        <w:rPr>
          <w:rFonts w:ascii="Montserrat" w:eastAsia="Montserrat" w:hAnsi="Montserrat" w:cs="Montserrat"/>
          <w:b/>
          <w:sz w:val="16"/>
          <w:szCs w:val="16"/>
        </w:rPr>
        <w:t>Dia España</w:t>
      </w:r>
    </w:p>
    <w:p w14:paraId="710AE169" w14:textId="77777777" w:rsidR="007132BB" w:rsidRDefault="00AC1289">
      <w:pPr>
        <w:tabs>
          <w:tab w:val="center" w:pos="4252"/>
          <w:tab w:val="right" w:pos="8504"/>
        </w:tabs>
        <w:spacing w:after="120"/>
        <w:rPr>
          <w:rFonts w:ascii="Montserrat" w:eastAsia="Montserrat" w:hAnsi="Montserrat" w:cs="Montserrat"/>
          <w:sz w:val="16"/>
          <w:szCs w:val="16"/>
        </w:rPr>
      </w:pPr>
      <w:r>
        <w:rPr>
          <w:rFonts w:ascii="Montserrat" w:eastAsia="Montserrat" w:hAnsi="Montserrat" w:cs="Montserrat"/>
          <w:sz w:val="16"/>
          <w:szCs w:val="16"/>
        </w:rPr>
        <w:t>Raquel González</w:t>
      </w:r>
    </w:p>
    <w:p w14:paraId="710AE16A" w14:textId="19DA05C1" w:rsidR="007132BB" w:rsidRDefault="005111B0">
      <w:pPr>
        <w:tabs>
          <w:tab w:val="center" w:pos="4252"/>
          <w:tab w:val="right" w:pos="8504"/>
        </w:tabs>
        <w:spacing w:after="120"/>
        <w:rPr>
          <w:rFonts w:ascii="Montserrat" w:eastAsia="Montserrat" w:hAnsi="Montserrat" w:cs="Montserrat"/>
          <w:sz w:val="16"/>
          <w:szCs w:val="16"/>
        </w:rPr>
      </w:pPr>
      <w:hyperlink r:id="rId12" w:history="1">
        <w:r w:rsidRPr="00766C4C">
          <w:rPr>
            <w:rStyle w:val="Hipervnculo"/>
            <w:rFonts w:ascii="Montserrat" w:eastAsia="Montserrat" w:hAnsi="Montserrat" w:cs="Montserrat"/>
            <w:sz w:val="16"/>
            <w:szCs w:val="16"/>
          </w:rPr>
          <w:t>raquel.gonzalez.rodriguez@diagroup.com</w:t>
        </w:r>
      </w:hyperlink>
    </w:p>
    <w:p w14:paraId="710AE16B" w14:textId="77777777" w:rsidR="007132BB" w:rsidRDefault="00AC1289">
      <w:pPr>
        <w:tabs>
          <w:tab w:val="center" w:pos="4252"/>
          <w:tab w:val="right" w:pos="8504"/>
        </w:tabs>
        <w:spacing w:after="120"/>
        <w:rPr>
          <w:rFonts w:ascii="Montserrat" w:eastAsia="Montserrat" w:hAnsi="Montserrat" w:cs="Montserrat"/>
          <w:sz w:val="16"/>
          <w:szCs w:val="16"/>
        </w:rPr>
      </w:pPr>
      <w:r>
        <w:rPr>
          <w:rFonts w:ascii="Montserrat" w:eastAsia="Montserrat" w:hAnsi="Montserrat" w:cs="Montserrat"/>
          <w:sz w:val="16"/>
          <w:szCs w:val="16"/>
        </w:rPr>
        <w:t>+34 655712890</w:t>
      </w:r>
    </w:p>
    <w:p w14:paraId="710AE16C" w14:textId="77777777" w:rsidR="007132BB" w:rsidRDefault="007132BB">
      <w:pPr>
        <w:tabs>
          <w:tab w:val="center" w:pos="4252"/>
          <w:tab w:val="right" w:pos="8504"/>
        </w:tabs>
        <w:spacing w:after="120"/>
        <w:rPr>
          <w:rFonts w:ascii="Montserrat" w:eastAsia="Montserrat" w:hAnsi="Montserrat" w:cs="Montserrat"/>
          <w:sz w:val="16"/>
          <w:szCs w:val="16"/>
        </w:rPr>
      </w:pPr>
    </w:p>
    <w:p w14:paraId="710AE16D" w14:textId="77777777" w:rsidR="007132BB" w:rsidRDefault="00AC1289">
      <w:pPr>
        <w:shd w:val="clear" w:color="auto" w:fill="FFFFFF"/>
        <w:tabs>
          <w:tab w:val="center" w:pos="4252"/>
          <w:tab w:val="right" w:pos="8504"/>
        </w:tabs>
        <w:rPr>
          <w:rFonts w:ascii="Montserrat" w:eastAsia="Montserrat" w:hAnsi="Montserrat" w:cs="Montserrat"/>
          <w:sz w:val="16"/>
          <w:szCs w:val="16"/>
        </w:rPr>
      </w:pPr>
      <w:proofErr w:type="spellStart"/>
      <w:r>
        <w:rPr>
          <w:rFonts w:ascii="Montserrat" w:eastAsia="Montserrat" w:hAnsi="Montserrat" w:cs="Montserrat"/>
          <w:b/>
          <w:sz w:val="16"/>
          <w:szCs w:val="16"/>
        </w:rPr>
        <w:t>bp</w:t>
      </w:r>
      <w:proofErr w:type="spellEnd"/>
      <w:r>
        <w:rPr>
          <w:rFonts w:ascii="Montserrat" w:eastAsia="Montserrat" w:hAnsi="Montserrat" w:cs="Montserrat"/>
          <w:b/>
          <w:sz w:val="16"/>
          <w:szCs w:val="16"/>
        </w:rPr>
        <w:t xml:space="preserve"> España</w:t>
      </w:r>
      <w:r>
        <w:rPr>
          <w:rFonts w:ascii="Montserrat" w:eastAsia="Montserrat" w:hAnsi="Montserrat" w:cs="Montserrat"/>
          <w:sz w:val="16"/>
          <w:szCs w:val="16"/>
        </w:rPr>
        <w:t xml:space="preserve"> </w:t>
      </w:r>
    </w:p>
    <w:p w14:paraId="710AE16E" w14:textId="77777777" w:rsidR="007132BB" w:rsidRDefault="00AC1289">
      <w:pPr>
        <w:shd w:val="clear" w:color="auto" w:fill="FFFFFF"/>
        <w:tabs>
          <w:tab w:val="center" w:pos="4252"/>
          <w:tab w:val="right" w:pos="8504"/>
        </w:tabs>
        <w:rPr>
          <w:rFonts w:ascii="Montserrat" w:eastAsia="Montserrat" w:hAnsi="Montserrat" w:cs="Montserrat"/>
          <w:sz w:val="16"/>
          <w:szCs w:val="16"/>
        </w:rPr>
      </w:pPr>
      <w:r>
        <w:rPr>
          <w:rFonts w:ascii="Montserrat" w:eastAsia="Montserrat" w:hAnsi="Montserrat" w:cs="Montserrat"/>
          <w:sz w:val="16"/>
          <w:szCs w:val="16"/>
        </w:rPr>
        <w:t xml:space="preserve">Rafael Angulo </w:t>
      </w:r>
    </w:p>
    <w:p w14:paraId="710AE16F" w14:textId="77777777" w:rsidR="007132BB" w:rsidRDefault="00AC1289">
      <w:pPr>
        <w:shd w:val="clear" w:color="auto" w:fill="FFFFFF"/>
        <w:tabs>
          <w:tab w:val="center" w:pos="4252"/>
          <w:tab w:val="right" w:pos="8504"/>
        </w:tabs>
        <w:rPr>
          <w:rFonts w:ascii="Montserrat" w:eastAsia="Montserrat" w:hAnsi="Montserrat" w:cs="Montserrat"/>
          <w:sz w:val="16"/>
          <w:szCs w:val="16"/>
        </w:rPr>
      </w:pPr>
      <w:r>
        <w:rPr>
          <w:rFonts w:ascii="Montserrat" w:eastAsia="Montserrat" w:hAnsi="Montserrat" w:cs="Montserrat"/>
          <w:color w:val="467886"/>
          <w:sz w:val="16"/>
          <w:szCs w:val="16"/>
          <w:u w:val="single"/>
        </w:rPr>
        <w:t>rafael.angulo_flores@bp.com</w:t>
      </w:r>
      <w:r>
        <w:rPr>
          <w:rFonts w:ascii="Montserrat" w:eastAsia="Montserrat" w:hAnsi="Montserrat" w:cs="Montserrat"/>
          <w:sz w:val="16"/>
          <w:szCs w:val="16"/>
        </w:rPr>
        <w:t xml:space="preserve"> </w:t>
      </w:r>
    </w:p>
    <w:p w14:paraId="710AE170" w14:textId="77777777" w:rsidR="007132BB" w:rsidRDefault="00AC1289">
      <w:pPr>
        <w:shd w:val="clear" w:color="auto" w:fill="FFFFFF"/>
        <w:tabs>
          <w:tab w:val="center" w:pos="4252"/>
          <w:tab w:val="right" w:pos="8504"/>
        </w:tabs>
        <w:rPr>
          <w:rFonts w:ascii="Montserrat" w:eastAsia="Montserrat" w:hAnsi="Montserrat" w:cs="Montserrat"/>
          <w:sz w:val="16"/>
          <w:szCs w:val="16"/>
        </w:rPr>
      </w:pPr>
      <w:r>
        <w:rPr>
          <w:rFonts w:ascii="Montserrat" w:eastAsia="Montserrat" w:hAnsi="Montserrat" w:cs="Montserrat"/>
          <w:sz w:val="16"/>
          <w:szCs w:val="16"/>
        </w:rPr>
        <w:t xml:space="preserve">+34 655712890 </w:t>
      </w:r>
    </w:p>
    <w:p w14:paraId="710AE171" w14:textId="77777777" w:rsidR="007132BB" w:rsidRDefault="00AC1289">
      <w:pPr>
        <w:shd w:val="clear" w:color="auto" w:fill="FFFFFF"/>
        <w:tabs>
          <w:tab w:val="center" w:pos="4252"/>
          <w:tab w:val="right" w:pos="8504"/>
        </w:tabs>
        <w:rPr>
          <w:rFonts w:ascii="Arial" w:eastAsia="Arial" w:hAnsi="Arial" w:cs="Arial"/>
          <w:sz w:val="18"/>
          <w:szCs w:val="18"/>
        </w:rPr>
      </w:pPr>
      <w:r>
        <w:rPr>
          <w:rFonts w:ascii="Arial" w:eastAsia="Arial" w:hAnsi="Arial" w:cs="Arial"/>
          <w:sz w:val="18"/>
          <w:szCs w:val="18"/>
        </w:rPr>
        <w:t xml:space="preserve"> </w:t>
      </w:r>
    </w:p>
    <w:p w14:paraId="710AE172" w14:textId="77777777" w:rsidR="007132BB" w:rsidRDefault="007132BB">
      <w:pPr>
        <w:tabs>
          <w:tab w:val="center" w:pos="4252"/>
          <w:tab w:val="right" w:pos="8504"/>
        </w:tabs>
        <w:spacing w:after="120"/>
        <w:rPr>
          <w:rFonts w:ascii="Montserrat" w:eastAsia="Montserrat" w:hAnsi="Montserrat" w:cs="Montserrat"/>
          <w:b/>
          <w:sz w:val="16"/>
          <w:szCs w:val="16"/>
        </w:rPr>
      </w:pPr>
    </w:p>
    <w:sectPr w:rsidR="007132BB">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D6FC0" w14:textId="77777777" w:rsidR="00652864" w:rsidRDefault="00652864">
      <w:r>
        <w:separator/>
      </w:r>
    </w:p>
  </w:endnote>
  <w:endnote w:type="continuationSeparator" w:id="0">
    <w:p w14:paraId="557B66EE" w14:textId="77777777" w:rsidR="00652864" w:rsidRDefault="0065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6E8E820-2486-4899-BCB1-8A2649A2F6B2}"/>
    <w:embedItalic r:id="rId2" w:fontKey="{690EFBD5-4717-4C35-BB3A-83E8204DA112}"/>
  </w:font>
  <w:font w:name="Montserrat">
    <w:charset w:val="00"/>
    <w:family w:val="auto"/>
    <w:pitch w:val="variable"/>
    <w:sig w:usb0="2000020F" w:usb1="00000003" w:usb2="00000000" w:usb3="00000000" w:csb0="00000197" w:csb1="00000000"/>
    <w:embedRegular r:id="rId3" w:fontKey="{280E030E-0E8B-4706-8EEF-704F5767C9F2}"/>
    <w:embedBold r:id="rId4" w:fontKey="{8647EBDD-407C-403C-AA77-1CE0210B5047}"/>
    <w:embedItalic r:id="rId5" w:fontKey="{3331C17F-9202-4BEF-8C28-D0E87467E3D8}"/>
  </w:font>
  <w:font w:name="Calibri">
    <w:panose1 w:val="020F0502020204030204"/>
    <w:charset w:val="00"/>
    <w:family w:val="swiss"/>
    <w:pitch w:val="variable"/>
    <w:sig w:usb0="E4002EFF" w:usb1="C200247B" w:usb2="00000009" w:usb3="00000000" w:csb0="000001FF" w:csb1="00000000"/>
    <w:embedRegular r:id="rId6" w:fontKey="{8A009B74-AAB7-43D3-BAF0-DA7F3A558848}"/>
  </w:font>
  <w:font w:name="Cambria">
    <w:panose1 w:val="02040503050406030204"/>
    <w:charset w:val="00"/>
    <w:family w:val="roman"/>
    <w:pitch w:val="variable"/>
    <w:sig w:usb0="E00006FF" w:usb1="420024FF" w:usb2="02000000" w:usb3="00000000" w:csb0="0000019F" w:csb1="00000000"/>
    <w:embedRegular r:id="rId7" w:fontKey="{32D40479-3EF6-495E-B86C-0AAFD829C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E174" w14:textId="37CC16C2" w:rsidR="007132BB" w:rsidRDefault="00AC1289">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Montserrat" w:eastAsia="Montserrat" w:hAnsi="Montserrat" w:cs="Montserrat"/>
        <w:sz w:val="16"/>
        <w:szCs w:val="16"/>
      </w:rPr>
      <w:fldChar w:fldCharType="begin"/>
    </w:r>
    <w:r>
      <w:rPr>
        <w:rFonts w:ascii="Montserrat" w:eastAsia="Montserrat" w:hAnsi="Montserrat" w:cs="Montserrat"/>
        <w:sz w:val="16"/>
        <w:szCs w:val="16"/>
      </w:rPr>
      <w:instrText>PAGE</w:instrText>
    </w:r>
    <w:r>
      <w:rPr>
        <w:rFonts w:ascii="Montserrat" w:eastAsia="Montserrat" w:hAnsi="Montserrat" w:cs="Montserrat"/>
        <w:sz w:val="16"/>
        <w:szCs w:val="16"/>
      </w:rPr>
      <w:fldChar w:fldCharType="separate"/>
    </w:r>
    <w:r>
      <w:rPr>
        <w:rFonts w:ascii="Montserrat" w:eastAsia="Montserrat" w:hAnsi="Montserrat" w:cs="Montserrat"/>
        <w:noProof/>
        <w:sz w:val="16"/>
        <w:szCs w:val="16"/>
      </w:rPr>
      <w:t>1</w:t>
    </w:r>
    <w:r>
      <w:rPr>
        <w:rFonts w:ascii="Montserrat" w:eastAsia="Montserrat" w:hAnsi="Montserrat" w:cs="Montserrat"/>
        <w:sz w:val="16"/>
        <w:szCs w:val="16"/>
      </w:rPr>
      <w:fldChar w:fldCharType="end"/>
    </w:r>
    <w:r>
      <w:rPr>
        <w:noProof/>
      </w:rPr>
      <mc:AlternateContent>
        <mc:Choice Requires="wps">
          <w:drawing>
            <wp:anchor distT="0" distB="0" distL="114300" distR="114300" simplePos="0" relativeHeight="251658240" behindDoc="0" locked="0" layoutInCell="1" hidden="0" allowOverlap="1" wp14:anchorId="710AE175" wp14:editId="710AE176">
              <wp:simplePos x="0" y="0"/>
              <wp:positionH relativeFrom="column">
                <wp:posOffset>2120900</wp:posOffset>
              </wp:positionH>
              <wp:positionV relativeFrom="paragraph">
                <wp:posOffset>0</wp:posOffset>
              </wp:positionV>
              <wp:extent cx="1289050" cy="461010"/>
              <wp:effectExtent l="0" t="0" r="0" b="0"/>
              <wp:wrapNone/>
              <wp:docPr id="1980250105" name="Rectángulo 1980250105"/>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710AE17F" w14:textId="77777777" w:rsidR="007132BB" w:rsidRDefault="00AC1289">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w:pict>
            <v:rect w14:anchorId="710AE175" id="Rectángulo 1980250105" o:spid="_x0000_s1026" style="position:absolute;left:0;text-align:left;margin-left:167pt;margin-top:0;width:101.5pt;height:3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" filled="f" stroked="f">
              <v:textbox inset="2.53958mm,1.2694mm,2.53958mm,1.2694mm">
                <w:txbxContent>
                  <w:p w14:paraId="710AE17F" w14:textId="77777777" w:rsidR="007132BB" w:rsidRDefault="00AC1289">
                    <w:pPr>
                      <w:textDirection w:val="btLr"/>
                    </w:pPr>
                    <w:r>
                      <w:rPr>
                        <w:rFonts w:ascii="Montserrat" w:eastAsia="Montserrat" w:hAnsi="Montserrat" w:cs="Montserrat"/>
                        <w:color w:val="FFFFFF"/>
                        <w:sz w:val="16"/>
                      </w:rPr>
                      <w:t>Dia España</w:t>
                    </w: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710AE177" wp14:editId="710AE178">
              <wp:simplePos x="0" y="0"/>
              <wp:positionH relativeFrom="column">
                <wp:posOffset>-228599</wp:posOffset>
              </wp:positionH>
              <wp:positionV relativeFrom="paragraph">
                <wp:posOffset>0</wp:posOffset>
              </wp:positionV>
              <wp:extent cx="1289050" cy="461010"/>
              <wp:effectExtent l="0" t="0" r="0" b="0"/>
              <wp:wrapNone/>
              <wp:docPr id="1980250104" name="Rectángulo 1980250104"/>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710AE180" w14:textId="77777777" w:rsidR="007132BB" w:rsidRDefault="00AC1289">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w:pict>
            <v:rect w14:anchorId="710AE177" id="Rectángulo 1980250104" o:spid="_x0000_s1027" style="position:absolute;left:0;text-align:left;margin-left:-18pt;margin-top:0;width:101.5pt;height:36.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" filled="f" stroked="f">
              <v:textbox inset="2.53958mm,1.2694mm,2.53958mm,1.2694mm">
                <w:txbxContent>
                  <w:p w14:paraId="710AE180" w14:textId="77777777" w:rsidR="007132BB" w:rsidRDefault="00AC1289">
                    <w:pPr>
                      <w:textDirection w:val="btLr"/>
                    </w:pPr>
                    <w:r>
                      <w:rPr>
                        <w:rFonts w:ascii="Montserrat" w:eastAsia="Montserrat" w:hAnsi="Montserrat" w:cs="Montserrat"/>
                        <w:color w:val="FFFFFF"/>
                        <w:sz w:val="16"/>
                      </w:rPr>
                      <w:t>@Dia_Esp</w:t>
                    </w: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710AE179" wp14:editId="710AE17A">
              <wp:simplePos x="0" y="0"/>
              <wp:positionH relativeFrom="column">
                <wp:posOffset>4521200</wp:posOffset>
              </wp:positionH>
              <wp:positionV relativeFrom="paragraph">
                <wp:posOffset>0</wp:posOffset>
              </wp:positionV>
              <wp:extent cx="1432560" cy="461010"/>
              <wp:effectExtent l="0" t="0" r="0" b="0"/>
              <wp:wrapNone/>
              <wp:docPr id="1980250106" name="Rectángulo 1980250106"/>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710AE181" w14:textId="77777777" w:rsidR="007132BB" w:rsidRDefault="00AC1289">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w:pict>
            <v:rect w14:anchorId="710AE179" id="Rectángulo 1980250106" o:spid="_x0000_s1028" style="position:absolute;left:0;text-align:left;margin-left:356pt;margin-top:0;width:112.8pt;height:36.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" filled="f" stroked="f">
              <v:textbox inset="2.53958mm,1.2694mm,2.53958mm,1.2694mm">
                <w:txbxContent>
                  <w:p w14:paraId="710AE181" w14:textId="77777777" w:rsidR="007132BB" w:rsidRDefault="00AC1289">
                    <w:pPr>
                      <w:textDirection w:val="btLr"/>
                    </w:pPr>
                    <w:r>
                      <w:rPr>
                        <w:rFonts w:ascii="Montserrat" w:eastAsia="Montserrat" w:hAnsi="Montserrat" w:cs="Montserrat"/>
                        <w:b/>
                        <w:color w:val="FFFFFF"/>
                        <w:sz w:val="16"/>
                        <w:u w:val="single"/>
                      </w:rPr>
                      <w:t>www.dia.es</w:t>
                    </w:r>
                  </w:p>
                </w:txbxContent>
              </v:textbox>
            </v:rect>
          </w:pict>
        </mc:Fallback>
      </mc:AlternateContent>
    </w:r>
    <w:r>
      <w:rPr>
        <w:noProof/>
      </w:rPr>
      <w:drawing>
        <wp:anchor distT="0" distB="0" distL="114300" distR="114300" simplePos="0" relativeHeight="251658243" behindDoc="0" locked="0" layoutInCell="1" hidden="0" allowOverlap="1" wp14:anchorId="710AE17B" wp14:editId="710AE17C">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980250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w:drawing>
        <wp:anchor distT="0" distB="0" distL="114300" distR="114300" simplePos="0" relativeHeight="251658244" behindDoc="0" locked="0" layoutInCell="1" hidden="0" allowOverlap="1" wp14:anchorId="710AE17D" wp14:editId="710AE17E">
          <wp:simplePos x="0" y="0"/>
          <wp:positionH relativeFrom="column">
            <wp:posOffset>-558771</wp:posOffset>
          </wp:positionH>
          <wp:positionV relativeFrom="paragraph">
            <wp:posOffset>152188</wp:posOffset>
          </wp:positionV>
          <wp:extent cx="263525" cy="263525"/>
          <wp:effectExtent l="0" t="0" r="0" b="0"/>
          <wp:wrapSquare wrapText="bothSides" distT="0" distB="0" distL="114300" distR="114300"/>
          <wp:docPr id="1980250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63525" cy="263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C09F6" w14:textId="77777777" w:rsidR="00652864" w:rsidRDefault="00652864">
      <w:r>
        <w:separator/>
      </w:r>
    </w:p>
  </w:footnote>
  <w:footnote w:type="continuationSeparator" w:id="0">
    <w:p w14:paraId="6D17B9A8" w14:textId="77777777" w:rsidR="00652864" w:rsidRDefault="00652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E173" w14:textId="365E2443" w:rsidR="007132BB" w:rsidRDefault="00AC1289">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5" behindDoc="0" locked="0" layoutInCell="1" hidden="0" allowOverlap="1" wp14:anchorId="54A1E18D" wp14:editId="646FB70E">
          <wp:simplePos x="0" y="0"/>
          <wp:positionH relativeFrom="margin">
            <wp:align>center</wp:align>
          </wp:positionH>
          <wp:positionV relativeFrom="paragraph">
            <wp:posOffset>-442595</wp:posOffset>
          </wp:positionV>
          <wp:extent cx="7699375" cy="1119505"/>
          <wp:effectExtent l="0" t="0" r="0" b="4445"/>
          <wp:wrapSquare wrapText="bothSides" distT="0" distB="0" distL="114300" distR="114300"/>
          <wp:docPr id="15" name="image1.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5" name="image1.png" descr="Forma&#10;&#10;El contenido generado por IA puede ser incorrecto."/>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2BB"/>
    <w:rsid w:val="005070B5"/>
    <w:rsid w:val="005111B0"/>
    <w:rsid w:val="005C04AF"/>
    <w:rsid w:val="00652864"/>
    <w:rsid w:val="007132BB"/>
    <w:rsid w:val="007F4B8A"/>
    <w:rsid w:val="00882E0E"/>
    <w:rsid w:val="00A40610"/>
    <w:rsid w:val="00AC1289"/>
    <w:rsid w:val="00E000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E14B"/>
  <w15:docId w15:val="{F1D6557B-F320-4C20-8425-15A890C1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rsid w:val="00EC4A76"/>
    <w:tblPr>
      <w:tblCellMar>
        <w:top w:w="0" w:type="dxa"/>
        <w:left w:w="0" w:type="dxa"/>
        <w:bottom w:w="0" w:type="dxa"/>
        <w:right w:w="0" w:type="dxa"/>
      </w:tblCellMar>
    </w:tblPr>
  </w:style>
  <w:style w:type="table" w:customStyle="1" w:styleId="TableNormal19">
    <w:name w:val="Table Normal19"/>
    <w:rsid w:val="00BF371E"/>
    <w:tblPr>
      <w:tblCellMar>
        <w:top w:w="0" w:type="dxa"/>
        <w:left w:w="0" w:type="dxa"/>
        <w:bottom w:w="0" w:type="dxa"/>
        <w:right w:w="0" w:type="dxa"/>
      </w:tblCellMar>
    </w:tblPr>
  </w:style>
  <w:style w:type="character" w:styleId="Hipervnculo">
    <w:name w:val="Hyperlink"/>
    <w:basedOn w:val="Fuentedeprrafopredeter"/>
    <w:uiPriority w:val="99"/>
    <w:unhideWhenUsed/>
    <w:rsid w:val="00A6747B"/>
    <w:rPr>
      <w:color w:val="0000FF" w:themeColor="hyperlink"/>
      <w:u w:val="single"/>
    </w:rPr>
  </w:style>
  <w:style w:type="character" w:styleId="Mencinsinresolver">
    <w:name w:val="Unresolved Mention"/>
    <w:basedOn w:val="Fuentedeprrafopredeter"/>
    <w:uiPriority w:val="99"/>
    <w:semiHidden/>
    <w:unhideWhenUsed/>
    <w:rsid w:val="00A6747B"/>
    <w:rPr>
      <w:color w:val="605E5C"/>
      <w:shd w:val="clear" w:color="auto" w:fill="E1DFDD"/>
    </w:rPr>
  </w:style>
  <w:style w:type="paragraph" w:styleId="NormalWeb">
    <w:name w:val="Normal (Web)"/>
    <w:basedOn w:val="Normal"/>
    <w:uiPriority w:val="99"/>
    <w:semiHidden/>
    <w:unhideWhenUsed/>
    <w:rsid w:val="004D795E"/>
  </w:style>
  <w:style w:type="paragraph" w:styleId="Encabezado">
    <w:name w:val="header"/>
    <w:basedOn w:val="Normal"/>
    <w:link w:val="EncabezadoCar"/>
    <w:uiPriority w:val="99"/>
    <w:unhideWhenUsed/>
    <w:rsid w:val="008E6FAA"/>
    <w:pPr>
      <w:tabs>
        <w:tab w:val="center" w:pos="4252"/>
        <w:tab w:val="right" w:pos="8504"/>
      </w:tabs>
    </w:pPr>
  </w:style>
  <w:style w:type="character" w:customStyle="1" w:styleId="EncabezadoCar">
    <w:name w:val="Encabezado Car"/>
    <w:basedOn w:val="Fuentedeprrafopredeter"/>
    <w:link w:val="Encabezado"/>
    <w:uiPriority w:val="99"/>
    <w:rsid w:val="008E6FAA"/>
  </w:style>
  <w:style w:type="paragraph" w:styleId="Piedepgina">
    <w:name w:val="footer"/>
    <w:basedOn w:val="Normal"/>
    <w:link w:val="PiedepginaCar"/>
    <w:uiPriority w:val="99"/>
    <w:unhideWhenUsed/>
    <w:rsid w:val="008E6FAA"/>
    <w:pPr>
      <w:tabs>
        <w:tab w:val="center" w:pos="4252"/>
        <w:tab w:val="right" w:pos="8504"/>
      </w:tabs>
    </w:pPr>
  </w:style>
  <w:style w:type="character" w:customStyle="1" w:styleId="PiedepginaCar">
    <w:name w:val="Pie de página Car"/>
    <w:basedOn w:val="Fuentedeprrafopredeter"/>
    <w:link w:val="Piedepgina"/>
    <w:uiPriority w:val="99"/>
    <w:rsid w:val="008E6FAA"/>
  </w:style>
  <w:style w:type="paragraph" w:styleId="Descripcin">
    <w:name w:val="caption"/>
    <w:basedOn w:val="Normal"/>
    <w:next w:val="Normal"/>
    <w:uiPriority w:val="35"/>
    <w:unhideWhenUsed/>
    <w:qFormat/>
    <w:rsid w:val="00A073BA"/>
    <w:pPr>
      <w:spacing w:after="200"/>
    </w:pPr>
    <w:rPr>
      <w:i/>
      <w:iCs/>
      <w:color w:val="1F497D" w:themeColor="text2"/>
      <w:sz w:val="18"/>
      <w:szCs w:val="18"/>
    </w:rPr>
  </w:style>
  <w:style w:type="table" w:customStyle="1" w:styleId="TableNormal10">
    <w:name w:val="Table Normal1"/>
    <w:rsid w:val="00814304"/>
    <w:tblPr>
      <w:tblCellMar>
        <w:top w:w="0" w:type="dxa"/>
        <w:left w:w="0" w:type="dxa"/>
        <w:bottom w:w="0" w:type="dxa"/>
        <w:right w:w="0" w:type="dxa"/>
      </w:tblCellMar>
    </w:tblPr>
  </w:style>
  <w:style w:type="table" w:customStyle="1" w:styleId="TableNormal20">
    <w:name w:val="Table Normal2"/>
    <w:rsid w:val="00814304"/>
    <w:tblPr>
      <w:tblCellMar>
        <w:top w:w="0" w:type="dxa"/>
        <w:left w:w="0" w:type="dxa"/>
        <w:bottom w:w="0" w:type="dxa"/>
        <w:right w:w="0" w:type="dxa"/>
      </w:tblCellMar>
    </w:tblPr>
  </w:style>
  <w:style w:type="table" w:customStyle="1" w:styleId="TableNormal37">
    <w:name w:val="Table Normal3"/>
    <w:rsid w:val="00814304"/>
    <w:tblPr>
      <w:tblCellMar>
        <w:top w:w="0" w:type="dxa"/>
        <w:left w:w="0" w:type="dxa"/>
        <w:bottom w:w="0" w:type="dxa"/>
        <w:right w:w="0" w:type="dxa"/>
      </w:tblCellMar>
    </w:tblPr>
  </w:style>
  <w:style w:type="table" w:customStyle="1" w:styleId="TableNormal4">
    <w:name w:val="Table Normal4"/>
    <w:rsid w:val="00814304"/>
    <w:tblPr>
      <w:tblCellMar>
        <w:top w:w="0" w:type="dxa"/>
        <w:left w:w="0" w:type="dxa"/>
        <w:bottom w:w="0" w:type="dxa"/>
        <w:right w:w="0" w:type="dxa"/>
      </w:tblCellMar>
    </w:tblPr>
  </w:style>
  <w:style w:type="table" w:customStyle="1" w:styleId="TableNormal5">
    <w:name w:val="Table Normal5"/>
    <w:rsid w:val="00814304"/>
    <w:tblPr>
      <w:tblCellMar>
        <w:top w:w="0" w:type="dxa"/>
        <w:left w:w="0" w:type="dxa"/>
        <w:bottom w:w="0" w:type="dxa"/>
        <w:right w:w="0" w:type="dxa"/>
      </w:tblCellMar>
    </w:tblPr>
  </w:style>
  <w:style w:type="table" w:customStyle="1" w:styleId="TableNormal6">
    <w:name w:val="Table Normal6"/>
    <w:rsid w:val="00814304"/>
    <w:tblPr>
      <w:tblCellMar>
        <w:top w:w="0" w:type="dxa"/>
        <w:left w:w="0" w:type="dxa"/>
        <w:bottom w:w="0" w:type="dxa"/>
        <w:right w:w="0" w:type="dxa"/>
      </w:tblCellMar>
    </w:tblPr>
  </w:style>
  <w:style w:type="table" w:customStyle="1" w:styleId="TableNormal7">
    <w:name w:val="Table Normal7"/>
    <w:rsid w:val="00814304"/>
    <w:tblPr>
      <w:tblCellMar>
        <w:top w:w="0" w:type="dxa"/>
        <w:left w:w="0" w:type="dxa"/>
        <w:bottom w:w="0" w:type="dxa"/>
        <w:right w:w="0" w:type="dxa"/>
      </w:tblCellMar>
    </w:tblPr>
  </w:style>
  <w:style w:type="table" w:customStyle="1" w:styleId="TableNormal8">
    <w:name w:val="Table Normal8"/>
    <w:rsid w:val="00814304"/>
    <w:tblPr>
      <w:tblCellMar>
        <w:top w:w="0" w:type="dxa"/>
        <w:left w:w="0" w:type="dxa"/>
        <w:bottom w:w="0" w:type="dxa"/>
        <w:right w:w="0" w:type="dxa"/>
      </w:tblCellMar>
    </w:tblPr>
  </w:style>
  <w:style w:type="table" w:customStyle="1" w:styleId="TableNormal9">
    <w:name w:val="Table Normal9"/>
    <w:rsid w:val="00814304"/>
    <w:tblPr>
      <w:tblCellMar>
        <w:top w:w="0" w:type="dxa"/>
        <w:left w:w="0" w:type="dxa"/>
        <w:bottom w:w="0" w:type="dxa"/>
        <w:right w:w="0" w:type="dxa"/>
      </w:tblCellMar>
    </w:tblPr>
  </w:style>
  <w:style w:type="table" w:customStyle="1" w:styleId="TableNormal100">
    <w:name w:val="Table Normal10"/>
    <w:rsid w:val="00814304"/>
    <w:tblPr>
      <w:tblCellMar>
        <w:top w:w="0" w:type="dxa"/>
        <w:left w:w="0" w:type="dxa"/>
        <w:bottom w:w="0" w:type="dxa"/>
        <w:right w:w="0" w:type="dxa"/>
      </w:tblCellMar>
    </w:tblPr>
  </w:style>
  <w:style w:type="table" w:customStyle="1" w:styleId="TableNormal18">
    <w:name w:val="Table Normal18"/>
    <w:rsid w:val="00BF371E"/>
    <w:tblPr>
      <w:tblCellMar>
        <w:top w:w="0" w:type="dxa"/>
        <w:left w:w="0" w:type="dxa"/>
        <w:bottom w:w="0" w:type="dxa"/>
        <w:right w:w="0" w:type="dxa"/>
      </w:tblCellMar>
    </w:tblPr>
  </w:style>
  <w:style w:type="table" w:customStyle="1" w:styleId="TableNormal17">
    <w:name w:val="Table Normal17"/>
    <w:rsid w:val="00BF371E"/>
    <w:tblPr>
      <w:tblCellMar>
        <w:top w:w="0" w:type="dxa"/>
        <w:left w:w="0" w:type="dxa"/>
        <w:bottom w:w="0" w:type="dxa"/>
        <w:right w:w="0" w:type="dxa"/>
      </w:tblCellMar>
    </w:tblPr>
  </w:style>
  <w:style w:type="table" w:customStyle="1" w:styleId="TableNormal16">
    <w:name w:val="Table Normal16"/>
    <w:rsid w:val="00BF371E"/>
    <w:tblPr>
      <w:tblCellMar>
        <w:top w:w="0" w:type="dxa"/>
        <w:left w:w="0" w:type="dxa"/>
        <w:bottom w:w="0" w:type="dxa"/>
        <w:right w:w="0" w:type="dxa"/>
      </w:tblCellMar>
    </w:tblPr>
  </w:style>
  <w:style w:type="table" w:customStyle="1" w:styleId="TableNormal15">
    <w:name w:val="Table Normal15"/>
    <w:rsid w:val="00BF371E"/>
    <w:tblPr>
      <w:tblCellMar>
        <w:top w:w="0" w:type="dxa"/>
        <w:left w:w="0" w:type="dxa"/>
        <w:bottom w:w="0" w:type="dxa"/>
        <w:right w:w="0" w:type="dxa"/>
      </w:tblCellMar>
    </w:tblPr>
  </w:style>
  <w:style w:type="table" w:customStyle="1" w:styleId="TableNormal14">
    <w:name w:val="Table Normal14"/>
    <w:rsid w:val="00BF371E"/>
    <w:tblPr>
      <w:tblCellMar>
        <w:top w:w="0" w:type="dxa"/>
        <w:left w:w="0" w:type="dxa"/>
        <w:bottom w:w="0" w:type="dxa"/>
        <w:right w:w="0" w:type="dxa"/>
      </w:tblCellMar>
    </w:tblPr>
  </w:style>
  <w:style w:type="table" w:customStyle="1" w:styleId="TableNormal13">
    <w:name w:val="Table Normal13"/>
    <w:rsid w:val="00BF371E"/>
    <w:tblPr>
      <w:tblCellMar>
        <w:top w:w="0" w:type="dxa"/>
        <w:left w:w="0" w:type="dxa"/>
        <w:bottom w:w="0" w:type="dxa"/>
        <w:right w:w="0" w:type="dxa"/>
      </w:tblCellMar>
    </w:tblPr>
  </w:style>
  <w:style w:type="table" w:customStyle="1" w:styleId="TableNormal12">
    <w:name w:val="Table Normal12"/>
    <w:rsid w:val="00BF371E"/>
    <w:tblPr>
      <w:tblCellMar>
        <w:top w:w="0" w:type="dxa"/>
        <w:left w:w="0" w:type="dxa"/>
        <w:bottom w:w="0" w:type="dxa"/>
        <w:right w:w="0" w:type="dxa"/>
      </w:tblCellMar>
    </w:tblPr>
  </w:style>
  <w:style w:type="table" w:customStyle="1" w:styleId="TableNormal11">
    <w:name w:val="Table Normal11"/>
    <w:rsid w:val="00BF371E"/>
    <w:tblPr>
      <w:tblCellMar>
        <w:top w:w="0" w:type="dxa"/>
        <w:left w:w="0" w:type="dxa"/>
        <w:bottom w:w="0" w:type="dxa"/>
        <w:right w:w="0" w:type="dxa"/>
      </w:tblCellMar>
    </w:tblPr>
  </w:style>
  <w:style w:type="table" w:customStyle="1" w:styleId="TableNormal26">
    <w:name w:val="Table Normal26"/>
    <w:rsid w:val="00EC4A76"/>
    <w:tblPr>
      <w:tblCellMar>
        <w:top w:w="0" w:type="dxa"/>
        <w:left w:w="0" w:type="dxa"/>
        <w:bottom w:w="0" w:type="dxa"/>
        <w:right w:w="0" w:type="dxa"/>
      </w:tblCellMar>
    </w:tblPr>
  </w:style>
  <w:style w:type="table" w:customStyle="1" w:styleId="TableNormal25">
    <w:name w:val="Table Normal25"/>
    <w:rsid w:val="00EC4A76"/>
    <w:tblPr>
      <w:tblCellMar>
        <w:top w:w="0" w:type="dxa"/>
        <w:left w:w="0" w:type="dxa"/>
        <w:bottom w:w="0" w:type="dxa"/>
        <w:right w:w="0" w:type="dxa"/>
      </w:tblCellMar>
    </w:tblPr>
  </w:style>
  <w:style w:type="table" w:customStyle="1" w:styleId="TableNormal24">
    <w:name w:val="Table Normal24"/>
    <w:rsid w:val="00EC4A76"/>
    <w:tblPr>
      <w:tblCellMar>
        <w:top w:w="0" w:type="dxa"/>
        <w:left w:w="0" w:type="dxa"/>
        <w:bottom w:w="0" w:type="dxa"/>
        <w:right w:w="0" w:type="dxa"/>
      </w:tblCellMar>
    </w:tblPr>
  </w:style>
  <w:style w:type="table" w:customStyle="1" w:styleId="TableNormal23">
    <w:name w:val="Table Normal23"/>
    <w:rsid w:val="00EC4A76"/>
    <w:tblPr>
      <w:tblCellMar>
        <w:top w:w="0" w:type="dxa"/>
        <w:left w:w="0" w:type="dxa"/>
        <w:bottom w:w="0" w:type="dxa"/>
        <w:right w:w="0" w:type="dxa"/>
      </w:tblCellMar>
    </w:tblPr>
  </w:style>
  <w:style w:type="table" w:customStyle="1" w:styleId="TableNormal22">
    <w:name w:val="Table Normal22"/>
    <w:rsid w:val="00EC4A76"/>
    <w:tblPr>
      <w:tblCellMar>
        <w:top w:w="0" w:type="dxa"/>
        <w:left w:w="0" w:type="dxa"/>
        <w:bottom w:w="0" w:type="dxa"/>
        <w:right w:w="0" w:type="dxa"/>
      </w:tblCellMar>
    </w:tblPr>
  </w:style>
  <w:style w:type="table" w:customStyle="1" w:styleId="TableNormal21">
    <w:name w:val="Table Normal21"/>
    <w:rsid w:val="00EC4A76"/>
    <w:tblPr>
      <w:tblCellMar>
        <w:top w:w="0" w:type="dxa"/>
        <w:left w:w="0" w:type="dxa"/>
        <w:bottom w:w="0" w:type="dxa"/>
        <w:right w:w="0" w:type="dxa"/>
      </w:tblCellMar>
    </w:tblPr>
  </w:style>
  <w:style w:type="table" w:customStyle="1" w:styleId="TableNormal200">
    <w:name w:val="Table Normal20"/>
    <w:rsid w:val="00EC4A76"/>
    <w:tblPr>
      <w:tblCellMar>
        <w:top w:w="0" w:type="dxa"/>
        <w:left w:w="0" w:type="dxa"/>
        <w:bottom w:w="0" w:type="dxa"/>
        <w:right w:w="0" w:type="dxa"/>
      </w:tblCellMar>
    </w:tblPr>
  </w:style>
  <w:style w:type="paragraph" w:styleId="Revisin">
    <w:name w:val="Revision"/>
    <w:hidden/>
    <w:uiPriority w:val="99"/>
    <w:semiHidden/>
    <w:rsid w:val="007A228B"/>
  </w:style>
  <w:style w:type="character" w:styleId="Refdecomentario">
    <w:name w:val="annotation reference"/>
    <w:basedOn w:val="Fuentedeprrafopredeter"/>
    <w:uiPriority w:val="99"/>
    <w:semiHidden/>
    <w:unhideWhenUsed/>
    <w:rsid w:val="005B72FE"/>
    <w:rPr>
      <w:sz w:val="16"/>
      <w:szCs w:val="16"/>
    </w:rPr>
  </w:style>
  <w:style w:type="paragraph" w:styleId="Textocomentario">
    <w:name w:val="annotation text"/>
    <w:basedOn w:val="Normal"/>
    <w:link w:val="TextocomentarioCar"/>
    <w:uiPriority w:val="99"/>
    <w:semiHidden/>
    <w:unhideWhenUsed/>
    <w:rsid w:val="005B72FE"/>
    <w:rPr>
      <w:sz w:val="20"/>
      <w:szCs w:val="20"/>
    </w:rPr>
  </w:style>
  <w:style w:type="character" w:customStyle="1" w:styleId="TextocomentarioCar">
    <w:name w:val="Texto comentario Car"/>
    <w:basedOn w:val="Fuentedeprrafopredeter"/>
    <w:link w:val="Textocomentario"/>
    <w:uiPriority w:val="99"/>
    <w:semiHidden/>
    <w:rsid w:val="005B72FE"/>
    <w:rPr>
      <w:sz w:val="20"/>
      <w:szCs w:val="20"/>
    </w:rPr>
  </w:style>
  <w:style w:type="paragraph" w:styleId="Asuntodelcomentario">
    <w:name w:val="annotation subject"/>
    <w:basedOn w:val="Textocomentario"/>
    <w:next w:val="Textocomentario"/>
    <w:link w:val="AsuntodelcomentarioCar"/>
    <w:uiPriority w:val="99"/>
    <w:semiHidden/>
    <w:unhideWhenUsed/>
    <w:rsid w:val="005B72FE"/>
    <w:rPr>
      <w:b/>
      <w:bCs/>
    </w:rPr>
  </w:style>
  <w:style w:type="character" w:customStyle="1" w:styleId="AsuntodelcomentarioCar">
    <w:name w:val="Asunto del comentario Car"/>
    <w:basedOn w:val="TextocomentarioCar"/>
    <w:link w:val="Asuntodelcomentario"/>
    <w:uiPriority w:val="99"/>
    <w:semiHidden/>
    <w:rsid w:val="005B72FE"/>
    <w:rPr>
      <w:b/>
      <w:bCs/>
      <w:sz w:val="20"/>
      <w:szCs w:val="20"/>
    </w:rPr>
  </w:style>
  <w:style w:type="paragraph" w:customStyle="1" w:styleId="Standard">
    <w:name w:val="Standard"/>
    <w:rsid w:val="00462CB7"/>
    <w:pPr>
      <w:widowControl w:val="0"/>
      <w:suppressAutoHyphens/>
      <w:autoSpaceDN w:val="0"/>
      <w:spacing w:line="276" w:lineRule="auto"/>
    </w:pPr>
    <w:rPr>
      <w:rFonts w:ascii="Arial" w:eastAsia="Arial" w:hAnsi="Arial" w:cs="Arial"/>
      <w:sz w:val="22"/>
      <w:szCs w:val="22"/>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quel.gonzalez.rodriguez@diagroup.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linkedin.com/company/diaespa%C3%B1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7TUA5UdOhabFau+Yui4EgGn/w==">CgMxLjA4AGonChRzdWdnZXN0Lmxnbnp6OXJjZTJ1ZRIPRGlhIENvcnBvcmF0aXZvaicKFHN1Z2dlc3QuMnp3Y3RheTk5ZWNtEg9EaWEgQ29ycG9yYXRpdm9yITFxei1ZUkdmY0YtYjNQTDhBNDhEcERKbUU5SUY4NWtZOA==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656D8F-0367-471E-94ED-087CCD271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9A0FC6-8126-4FDE-9714-AD6A4EE1F1B4}">
  <ds:schemaRefs>
    <ds:schemaRef ds:uri="http://schemas.microsoft.com/sharepoint/v3/contenttype/forms"/>
  </ds:schemaRefs>
</ds:datastoreItem>
</file>

<file path=customXml/itemProps4.xml><?xml version="1.0" encoding="utf-8"?>
<ds:datastoreItem xmlns:ds="http://schemas.openxmlformats.org/officeDocument/2006/customXml" ds:itemID="{74365BC7-D20F-4508-B83B-BED76FCA7A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957</Words>
  <Characters>5264</Characters>
  <Application>Microsoft Office Word</Application>
  <DocSecurity>4</DocSecurity>
  <Lines>43</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Niso</dc:creator>
  <cp:keywords/>
  <cp:lastModifiedBy>Carmen Niso</cp:lastModifiedBy>
  <cp:revision>4</cp:revision>
  <dcterms:created xsi:type="dcterms:W3CDTF">2025-07-11T06:37:00Z</dcterms:created>
  <dcterms:modified xsi:type="dcterms:W3CDTF">2025-07-15T08:02:00Z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