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2A02C" w14:textId="77777777" w:rsidR="00C63326" w:rsidRDefault="00413F1A">
      <w:pPr>
        <w:spacing w:after="0"/>
        <w:jc w:val="center"/>
        <w:rPr>
          <w:rFonts w:ascii="Rubik" w:eastAsia="Rubik" w:hAnsi="Rubik" w:cs="Rubik"/>
          <w:b/>
          <w:color w:val="00B0F0"/>
          <w:sz w:val="24"/>
          <w:szCs w:val="24"/>
        </w:rPr>
      </w:pPr>
      <w:r>
        <w:rPr>
          <w:rFonts w:ascii="Rubik" w:eastAsia="Rubik" w:hAnsi="Rubik" w:cs="Rubik"/>
          <w:b/>
          <w:color w:val="00B0F0"/>
          <w:sz w:val="24"/>
          <w:szCs w:val="24"/>
        </w:rPr>
        <w:t>Lactalis España</w:t>
      </w:r>
    </w:p>
    <w:p w14:paraId="1E02A02D" w14:textId="77777777" w:rsidR="00C63326" w:rsidRDefault="00413F1A">
      <w:pPr>
        <w:spacing w:after="0" w:line="240" w:lineRule="auto"/>
        <w:jc w:val="center"/>
        <w:rPr>
          <w:rFonts w:ascii="Rubik" w:eastAsia="Rubik" w:hAnsi="Rubik" w:cs="Rubik"/>
          <w:b/>
          <w:sz w:val="32"/>
          <w:szCs w:val="32"/>
        </w:rPr>
      </w:pPr>
      <w:r>
        <w:rPr>
          <w:rFonts w:ascii="Rubik" w:eastAsia="Rubik" w:hAnsi="Rubik" w:cs="Rubik"/>
          <w:b/>
          <w:color w:val="00B0F0"/>
          <w:sz w:val="24"/>
          <w:szCs w:val="24"/>
        </w:rPr>
        <w:t>Informe RSC 2024</w:t>
      </w:r>
      <w:r>
        <w:rPr>
          <w:rFonts w:ascii="Rubik" w:eastAsia="Rubik" w:hAnsi="Rubik" w:cs="Rubik"/>
          <w:b/>
          <w:sz w:val="24"/>
          <w:szCs w:val="24"/>
        </w:rPr>
        <w:br/>
      </w:r>
      <w:r>
        <w:rPr>
          <w:rFonts w:ascii="Rubik" w:eastAsia="Rubik" w:hAnsi="Rubik" w:cs="Rubik"/>
          <w:b/>
          <w:sz w:val="32"/>
          <w:szCs w:val="32"/>
        </w:rPr>
        <w:br/>
      </w:r>
      <w:r>
        <w:rPr>
          <w:rFonts w:ascii="Rubik" w:eastAsia="Rubik" w:hAnsi="Rubik" w:cs="Rubik"/>
          <w:b/>
          <w:sz w:val="32"/>
          <w:szCs w:val="32"/>
        </w:rPr>
        <w:t xml:space="preserve">Lactalis España reafirma su liderazgo en el sector lácteo con una contribución directa al tejido social y económico </w:t>
      </w:r>
      <w:r>
        <w:rPr>
          <w:rFonts w:ascii="Rubik" w:eastAsia="Rubik" w:hAnsi="Rubik" w:cs="Rubik"/>
          <w:b/>
          <w:sz w:val="32"/>
          <w:szCs w:val="32"/>
        </w:rPr>
        <w:br/>
        <w:t>que superó 1 000 millones de euros en 2024</w:t>
      </w:r>
    </w:p>
    <w:p w14:paraId="1E02A02E" w14:textId="77777777" w:rsidR="00C63326" w:rsidRDefault="00413F1A">
      <w:pPr>
        <w:spacing w:after="0"/>
        <w:jc w:val="center"/>
        <w:rPr>
          <w:rFonts w:ascii="Rubik" w:eastAsia="Rubik" w:hAnsi="Rubik" w:cs="Rubik"/>
          <w:i/>
        </w:rPr>
      </w:pPr>
      <w:r>
        <w:rPr>
          <w:rFonts w:ascii="Rubik" w:eastAsia="Rubik" w:hAnsi="Rubik" w:cs="Rubik"/>
          <w:i/>
          <w:sz w:val="24"/>
          <w:szCs w:val="24"/>
        </w:rPr>
        <w:br/>
      </w:r>
      <w:r>
        <w:rPr>
          <w:rFonts w:ascii="Rubik" w:eastAsia="Rubik" w:hAnsi="Rubik" w:cs="Rubik"/>
          <w:i/>
        </w:rPr>
        <w:t>Esta aportación de Lactalis en España incluye inversiones en sus 8 plantas, en I+D+i, en el desarrollo de marcas y productos, compras de leche y otras materias primas a proveedores locales, empleo directo, así como la contratación local de servicios y el pago de impuestos, tanto directos como gestionados</w:t>
      </w:r>
    </w:p>
    <w:p w14:paraId="1E02A02F" w14:textId="77777777" w:rsidR="00C63326" w:rsidRDefault="00C63326">
      <w:pPr>
        <w:spacing w:after="0"/>
        <w:jc w:val="center"/>
        <w:rPr>
          <w:rFonts w:ascii="Rubik" w:eastAsia="Rubik" w:hAnsi="Rubik" w:cs="Rubik"/>
          <w:i/>
        </w:rPr>
      </w:pPr>
    </w:p>
    <w:p w14:paraId="1E02A030" w14:textId="77777777" w:rsidR="00C63326" w:rsidRDefault="00413F1A">
      <w:pPr>
        <w:spacing w:after="0"/>
        <w:jc w:val="center"/>
        <w:rPr>
          <w:rFonts w:ascii="Rubik" w:eastAsia="Rubik" w:hAnsi="Rubik" w:cs="Rubik"/>
          <w:i/>
        </w:rPr>
      </w:pPr>
      <w:r>
        <w:rPr>
          <w:rFonts w:ascii="Rubik" w:eastAsia="Rubik" w:hAnsi="Rubik" w:cs="Rubik"/>
          <w:i/>
        </w:rPr>
        <w:t xml:space="preserve">El empleo crece con estabilidad: 2 617 personas en plantilla, 93,8% de contratos indefinidos y una rotación inferior al 2,1% </w:t>
      </w:r>
    </w:p>
    <w:p w14:paraId="1E02A031" w14:textId="77777777" w:rsidR="00C63326" w:rsidRDefault="00C63326">
      <w:pPr>
        <w:spacing w:after="0"/>
        <w:jc w:val="center"/>
        <w:rPr>
          <w:rFonts w:ascii="Rubik" w:eastAsia="Rubik" w:hAnsi="Rubik" w:cs="Rubik"/>
          <w:i/>
        </w:rPr>
      </w:pPr>
    </w:p>
    <w:p w14:paraId="1E02A032" w14:textId="77777777" w:rsidR="00C63326" w:rsidRDefault="00413F1A">
      <w:pPr>
        <w:spacing w:after="0"/>
        <w:jc w:val="center"/>
        <w:rPr>
          <w:rFonts w:ascii="Rubik" w:eastAsia="Rubik" w:hAnsi="Rubik" w:cs="Rubik"/>
          <w:i/>
        </w:rPr>
      </w:pPr>
      <w:r>
        <w:rPr>
          <w:rFonts w:ascii="Rubik" w:eastAsia="Rubik" w:hAnsi="Rubik" w:cs="Rubik"/>
          <w:i/>
        </w:rPr>
        <w:t xml:space="preserve">El 97,7% de la leche recogida -993 millones en 2024- contó con certificación en Bienestar Animal y las emisiones de CO₂ (alcances 1 y 2) han disminuido un 69,3% desde 2019 </w:t>
      </w:r>
    </w:p>
    <w:p w14:paraId="1E02A033" w14:textId="77777777" w:rsidR="00C63326" w:rsidRDefault="00C63326">
      <w:pPr>
        <w:spacing w:after="0"/>
        <w:jc w:val="center"/>
        <w:rPr>
          <w:rFonts w:ascii="Rubik" w:eastAsia="Rubik" w:hAnsi="Rubik" w:cs="Rubik"/>
          <w:i/>
        </w:rPr>
      </w:pPr>
    </w:p>
    <w:p w14:paraId="1E02A034" w14:textId="77777777" w:rsidR="00C63326" w:rsidRDefault="00413F1A">
      <w:pPr>
        <w:spacing w:after="0"/>
        <w:jc w:val="center"/>
        <w:rPr>
          <w:rFonts w:ascii="Rubik" w:eastAsia="Rubik" w:hAnsi="Rubik" w:cs="Rubik"/>
          <w:i/>
        </w:rPr>
      </w:pPr>
      <w:r>
        <w:rPr>
          <w:rFonts w:ascii="Rubik" w:eastAsia="Rubik" w:hAnsi="Rubik" w:cs="Rubik"/>
          <w:i/>
        </w:rPr>
        <w:t>Más de 12 millones de hogares confían en las marcas de Lactalis España,</w:t>
      </w:r>
      <w:r>
        <w:rPr>
          <w:rFonts w:ascii="Rubik" w:eastAsia="Rubik" w:hAnsi="Rubik" w:cs="Rubik"/>
          <w:i/>
        </w:rPr>
        <w:br/>
        <w:t>que ha lanzado 26 nuevas referencias en 2024</w:t>
      </w:r>
    </w:p>
    <w:p w14:paraId="1E02A035" w14:textId="77777777" w:rsidR="00C63326" w:rsidRDefault="00413F1A">
      <w:pPr>
        <w:spacing w:after="0"/>
        <w:jc w:val="center"/>
        <w:rPr>
          <w:rFonts w:ascii="Rubik" w:eastAsia="Rubik" w:hAnsi="Rubik" w:cs="Rubik"/>
          <w:i/>
        </w:rPr>
      </w:pPr>
      <w:r>
        <w:rPr>
          <w:rFonts w:ascii="Rubik" w:eastAsia="Rubik" w:hAnsi="Rubik" w:cs="Rubik"/>
          <w:i/>
        </w:rPr>
        <w:br/>
        <w:t>***</w:t>
      </w:r>
    </w:p>
    <w:p w14:paraId="1E02A036" w14:textId="77777777" w:rsidR="00C63326" w:rsidRDefault="00C63326">
      <w:pPr>
        <w:spacing w:after="0"/>
        <w:jc w:val="center"/>
        <w:rPr>
          <w:rFonts w:ascii="Rubik" w:eastAsia="Rubik" w:hAnsi="Rubik" w:cs="Rubik"/>
          <w:b/>
          <w:sz w:val="28"/>
          <w:szCs w:val="28"/>
        </w:rPr>
      </w:pPr>
    </w:p>
    <w:p w14:paraId="1E02A037" w14:textId="77777777" w:rsidR="00C63326" w:rsidRDefault="00413F1A">
      <w:pPr>
        <w:jc w:val="both"/>
        <w:rPr>
          <w:rFonts w:ascii="Rubik" w:eastAsia="Rubik" w:hAnsi="Rubik" w:cs="Rubik"/>
          <w:sz w:val="21"/>
          <w:szCs w:val="21"/>
        </w:rPr>
      </w:pPr>
      <w:r>
        <w:rPr>
          <w:rFonts w:ascii="Rubik" w:eastAsia="Rubik" w:hAnsi="Rubik" w:cs="Rubik"/>
          <w:b/>
          <w:sz w:val="21"/>
          <w:szCs w:val="21"/>
        </w:rPr>
        <w:t xml:space="preserve">Madrid, 1 de julio de 2025.- </w:t>
      </w:r>
      <w:r>
        <w:rPr>
          <w:rFonts w:ascii="Rubik" w:eastAsia="Rubik" w:hAnsi="Rubik" w:cs="Rubik"/>
          <w:sz w:val="21"/>
          <w:szCs w:val="21"/>
        </w:rPr>
        <w:t>En 2024, Lactalis España reforzó su posición como dinamizador de la economía nacional desde la categoría de alimentación, con una contribución directa al tejido social y económico español de 1 059</w:t>
      </w:r>
      <w:r>
        <w:rPr>
          <w:rFonts w:ascii="Rubik" w:eastAsia="Rubik" w:hAnsi="Rubik" w:cs="Rubik"/>
          <w:sz w:val="21"/>
          <w:szCs w:val="21"/>
          <w:vertAlign w:val="superscript"/>
        </w:rPr>
        <w:footnoteReference w:id="1"/>
      </w:r>
      <w:r>
        <w:rPr>
          <w:rFonts w:ascii="Rubik" w:eastAsia="Rubik" w:hAnsi="Rubik" w:cs="Rubik"/>
          <w:sz w:val="21"/>
          <w:szCs w:val="21"/>
        </w:rPr>
        <w:t xml:space="preserve"> millones de euros, tal y como refleja su Informe de Responsabilidad Social Corporativa 2024. Esta aportación engloba inversiones en sus 8 plantas, en I+D+i, en el desarrollo de marcas y productos, compras de leche y otras materias primas a proveedores locales, empleo directo, así como la contratación local de servicios y el pago de impuestos, tanto directos como gestionados. Buena parte de ese impacto se concentró en los territorios con presencia fabril, mayoritariamente en entornos rurales. De hecho, el 7</w:t>
      </w:r>
      <w:r>
        <w:rPr>
          <w:rFonts w:ascii="Rubik" w:eastAsia="Rubik" w:hAnsi="Rubik" w:cs="Rubik"/>
          <w:sz w:val="21"/>
          <w:szCs w:val="21"/>
        </w:rPr>
        <w:t>3,4% de la inversión industrial se destinó a los centros situados en municipios de menos de 25 000 habitantes, consolidando el arraigo territorial del grupo y su visión en favor de la soberanía alimentaria de cada país en el que está presente.</w:t>
      </w:r>
    </w:p>
    <w:p w14:paraId="1E02A038" w14:textId="77777777" w:rsidR="00C63326" w:rsidRDefault="00413F1A">
      <w:pPr>
        <w:jc w:val="both"/>
        <w:rPr>
          <w:rFonts w:ascii="Rubik" w:eastAsia="Rubik" w:hAnsi="Rubik" w:cs="Rubik"/>
          <w:sz w:val="21"/>
          <w:szCs w:val="21"/>
        </w:rPr>
      </w:pPr>
      <w:r>
        <w:rPr>
          <w:rFonts w:ascii="Rubik" w:eastAsia="Rubik" w:hAnsi="Rubik" w:cs="Rubik"/>
          <w:sz w:val="21"/>
          <w:szCs w:val="21"/>
        </w:rPr>
        <w:t xml:space="preserve">En paralelo, la cifra de negocio de Lactalis España ascendió a 1 676 millones de euros, reflejo de su liderazgo en el sector lácteo nacional, con un </w:t>
      </w:r>
      <w:proofErr w:type="spellStart"/>
      <w:r>
        <w:rPr>
          <w:rFonts w:ascii="Rubik" w:eastAsia="Rubik" w:hAnsi="Rubik" w:cs="Rubik"/>
          <w:sz w:val="21"/>
          <w:szCs w:val="21"/>
        </w:rPr>
        <w:t>mix</w:t>
      </w:r>
      <w:proofErr w:type="spellEnd"/>
      <w:r>
        <w:rPr>
          <w:rFonts w:ascii="Rubik" w:eastAsia="Rubik" w:hAnsi="Rubik" w:cs="Rubik"/>
          <w:sz w:val="21"/>
          <w:szCs w:val="21"/>
        </w:rPr>
        <w:t xml:space="preserve"> en el que la leche representa el 51% del negocio, seguida de los quesos (24%), yogures y postres (15%), mantequilla y natas (9%), ingredientes nutricionales (6%) y otros productos (1%).</w:t>
      </w:r>
    </w:p>
    <w:p w14:paraId="1E02A039" w14:textId="77777777" w:rsidR="00C63326" w:rsidRDefault="00413F1A">
      <w:pPr>
        <w:jc w:val="both"/>
        <w:rPr>
          <w:rFonts w:ascii="Rubik" w:eastAsia="Rubik" w:hAnsi="Rubik" w:cs="Rubik"/>
          <w:sz w:val="21"/>
          <w:szCs w:val="21"/>
        </w:rPr>
      </w:pPr>
      <w:r>
        <w:rPr>
          <w:rFonts w:ascii="Rubik" w:eastAsia="Rubik" w:hAnsi="Rubik" w:cs="Rubik"/>
          <w:sz w:val="21"/>
          <w:szCs w:val="21"/>
        </w:rPr>
        <w:t xml:space="preserve">Ese compromiso con el entorno también se refleja en el empleo. La compañía cuenta ya </w:t>
      </w:r>
      <w:proofErr w:type="gramStart"/>
      <w:r>
        <w:rPr>
          <w:rFonts w:ascii="Rubik" w:eastAsia="Rubik" w:hAnsi="Rubik" w:cs="Rubik"/>
          <w:sz w:val="21"/>
          <w:szCs w:val="21"/>
        </w:rPr>
        <w:t>con  2</w:t>
      </w:r>
      <w:proofErr w:type="gramEnd"/>
      <w:r>
        <w:rPr>
          <w:rFonts w:ascii="Rubik" w:eastAsia="Rubik" w:hAnsi="Rubik" w:cs="Rubik"/>
          <w:sz w:val="21"/>
          <w:szCs w:val="21"/>
        </w:rPr>
        <w:t xml:space="preserve"> 617 profesionales en España, un 3,1% más que el año anterior. El 93,8% dispone de contrato indefinido y la rotación se mantiene por debajo del 2,1%, lo que evidencia un modelo de relación laboral estable y con vocación de permanencia. Este crecimiento se ha acompañado de una fuerte inversión en formación, que supera el millón de euros, y de una nueva política de </w:t>
      </w:r>
      <w:r>
        <w:rPr>
          <w:rFonts w:ascii="Rubik" w:eastAsia="Rubik" w:hAnsi="Rubik" w:cs="Rubik"/>
          <w:sz w:val="21"/>
          <w:szCs w:val="21"/>
        </w:rPr>
        <w:lastRenderedPageBreak/>
        <w:t>diversidad, equidad e inclusión (DEI), que favorece la igualdad de oportunidades. Aunque el entorno industrial sigue estando masculinizado (</w:t>
      </w:r>
      <w:r>
        <w:rPr>
          <w:rFonts w:ascii="Rubik" w:eastAsia="Rubik" w:hAnsi="Rubik" w:cs="Rubik"/>
          <w:sz w:val="21"/>
          <w:szCs w:val="21"/>
        </w:rPr>
        <w:t>74% hombres, 26% mujeres), el equilibrio es ya una realidad en oficinas y otras ubicaciones (52%-48%), y las nuevas iniciativas están orientadas a fomentar la presencia y el liderazgo femenino en todas las áreas de la compañía.</w:t>
      </w:r>
    </w:p>
    <w:p w14:paraId="1E02A03A" w14:textId="77777777" w:rsidR="00C63326" w:rsidRDefault="00413F1A">
      <w:pPr>
        <w:jc w:val="both"/>
        <w:rPr>
          <w:rFonts w:ascii="Rubik" w:eastAsia="Rubik" w:hAnsi="Rubik" w:cs="Rubik"/>
          <w:sz w:val="21"/>
          <w:szCs w:val="21"/>
        </w:rPr>
      </w:pPr>
      <w:r>
        <w:rPr>
          <w:rFonts w:ascii="Rubik" w:eastAsia="Rubik" w:hAnsi="Rubik" w:cs="Rubik"/>
          <w:sz w:val="21"/>
          <w:szCs w:val="21"/>
        </w:rPr>
        <w:t>Además, Lactalis España ha seguido impulsando su compromiso con el campo. En 2024, recogió 993 millones de litros de leche de vaca, cabra y oveja procedentes de 1 458 ganaderías ubicadas en 415 municipios de 13 comunidades autónomas. El 97,7% del volumen contó con certificación en Bienestar Animal. En colaboración con el CSIC, la compañía ha iniciado un proyecto piloto en 16 granjas para reducir emisiones en origen antes de 2030, actuando sobre la gestión de residuos, la alimentación y la eficiencia energét</w:t>
      </w:r>
      <w:r>
        <w:rPr>
          <w:rFonts w:ascii="Rubik" w:eastAsia="Rubik" w:hAnsi="Rubik" w:cs="Rubik"/>
          <w:sz w:val="21"/>
          <w:szCs w:val="21"/>
        </w:rPr>
        <w:t>ica en granjas.</w:t>
      </w:r>
    </w:p>
    <w:p w14:paraId="1E02A03B" w14:textId="77777777" w:rsidR="00C63326" w:rsidRDefault="00413F1A">
      <w:pPr>
        <w:jc w:val="both"/>
        <w:rPr>
          <w:rFonts w:ascii="Rubik" w:eastAsia="Rubik" w:hAnsi="Rubik" w:cs="Rubik"/>
          <w:sz w:val="21"/>
          <w:szCs w:val="21"/>
        </w:rPr>
      </w:pPr>
      <w:r>
        <w:rPr>
          <w:rFonts w:ascii="Rubik" w:eastAsia="Rubik" w:hAnsi="Rubik" w:cs="Rubik"/>
          <w:sz w:val="21"/>
          <w:szCs w:val="21"/>
        </w:rPr>
        <w:t>A nivel industrial, las emisiones directas de CO₂ (alcances 1 y 2) se han reducido un 69,3% desde 2019. También se ha avanzado en el desarrollo de un packaging más responsable: el 80% de los envases ya es reciclable por diseño y se alcanza el 30% de material reciclado en los envases. En 2024 se eliminaron 92 toneladas de material y se lanzó, junto a Tetra Pak, el primer Tetra Brik del mercado español con plástico 100% reciclado</w:t>
      </w:r>
      <w:r>
        <w:rPr>
          <w:rFonts w:ascii="Rubik" w:eastAsia="Rubik" w:hAnsi="Rubik" w:cs="Rubik"/>
          <w:sz w:val="21"/>
          <w:szCs w:val="21"/>
          <w:vertAlign w:val="superscript"/>
        </w:rPr>
        <w:footnoteReference w:id="2"/>
      </w:r>
      <w:r>
        <w:rPr>
          <w:rFonts w:ascii="Rubik" w:eastAsia="Rubik" w:hAnsi="Rubik" w:cs="Rubik"/>
          <w:sz w:val="21"/>
          <w:szCs w:val="21"/>
        </w:rPr>
        <w:t xml:space="preserve"> en la gama de leche adaptada Puleva Vita Calcio.</w:t>
      </w:r>
    </w:p>
    <w:p w14:paraId="1E02A03C" w14:textId="77777777" w:rsidR="00C63326" w:rsidRDefault="00413F1A">
      <w:pPr>
        <w:jc w:val="both"/>
        <w:rPr>
          <w:rFonts w:ascii="Rubik" w:eastAsia="Rubik" w:hAnsi="Rubik" w:cs="Rubik"/>
          <w:sz w:val="21"/>
          <w:szCs w:val="21"/>
        </w:rPr>
      </w:pPr>
      <w:r>
        <w:rPr>
          <w:rFonts w:ascii="Rubik" w:eastAsia="Rubik" w:hAnsi="Rubik" w:cs="Rubik"/>
          <w:sz w:val="21"/>
          <w:szCs w:val="21"/>
        </w:rPr>
        <w:t xml:space="preserve">El liderazgo de Lactalis España también se traduce en su relación con las personas consumidoras: más de 12 millones de hogares españoles incluyen sus productos en la cesta de la compra, con marcas como Puleva, Président, Galbani, Flor de Esgueva, El Ventero, Gran Capitán o Chufi, y las gestionadas por la </w:t>
      </w:r>
      <w:proofErr w:type="spellStart"/>
      <w:proofErr w:type="gramStart"/>
      <w:r>
        <w:rPr>
          <w:rFonts w:ascii="Rubik" w:eastAsia="Rubik" w:hAnsi="Rubik" w:cs="Rubik"/>
          <w:sz w:val="21"/>
          <w:szCs w:val="21"/>
        </w:rPr>
        <w:t>joint</w:t>
      </w:r>
      <w:proofErr w:type="spellEnd"/>
      <w:r>
        <w:rPr>
          <w:rFonts w:ascii="Rubik" w:eastAsia="Rubik" w:hAnsi="Rubik" w:cs="Rubik"/>
          <w:sz w:val="21"/>
          <w:szCs w:val="21"/>
        </w:rPr>
        <w:t>-venture</w:t>
      </w:r>
      <w:proofErr w:type="gramEnd"/>
      <w:r>
        <w:rPr>
          <w:rFonts w:ascii="Rubik" w:eastAsia="Rubik" w:hAnsi="Rubik" w:cs="Rubik"/>
          <w:sz w:val="21"/>
          <w:szCs w:val="21"/>
        </w:rPr>
        <w:t xml:space="preserve"> Lactalis Nestlé: Yogures Nestlé, La Lechera, </w:t>
      </w:r>
      <w:proofErr w:type="spellStart"/>
      <w:r>
        <w:rPr>
          <w:rFonts w:ascii="Rubik" w:eastAsia="Rubik" w:hAnsi="Rubik" w:cs="Rubik"/>
          <w:sz w:val="21"/>
          <w:szCs w:val="21"/>
        </w:rPr>
        <w:t>Nescafé</w:t>
      </w:r>
      <w:proofErr w:type="spellEnd"/>
      <w:r>
        <w:rPr>
          <w:rFonts w:ascii="Rubik" w:eastAsia="Rubik" w:hAnsi="Rubik" w:cs="Rubik"/>
          <w:sz w:val="21"/>
          <w:szCs w:val="21"/>
        </w:rPr>
        <w:t xml:space="preserve"> </w:t>
      </w:r>
      <w:proofErr w:type="spellStart"/>
      <w:r>
        <w:rPr>
          <w:rFonts w:ascii="Rubik" w:eastAsia="Rubik" w:hAnsi="Rubik" w:cs="Rubik"/>
          <w:sz w:val="21"/>
          <w:szCs w:val="21"/>
        </w:rPr>
        <w:t>Latte</w:t>
      </w:r>
      <w:proofErr w:type="spellEnd"/>
      <w:r>
        <w:rPr>
          <w:rFonts w:ascii="Rubik" w:eastAsia="Rubik" w:hAnsi="Rubik" w:cs="Rubik"/>
          <w:sz w:val="21"/>
          <w:szCs w:val="21"/>
        </w:rPr>
        <w:t xml:space="preserve"> o YAOS, entre otras. En 2024, la compañía lanzó 26 innovaciones y superó las 1 000 referencias activas, apoyándose en un modelo de I+D+i que combina el conocimiento local con una red internacional de 470 investigadores en 29 países.</w:t>
      </w:r>
    </w:p>
    <w:p w14:paraId="1E02A03D" w14:textId="77777777" w:rsidR="00C63326" w:rsidRDefault="00413F1A">
      <w:pPr>
        <w:jc w:val="both"/>
        <w:rPr>
          <w:rFonts w:ascii="Rubik" w:eastAsia="Rubik" w:hAnsi="Rubik" w:cs="Rubik"/>
          <w:sz w:val="21"/>
          <w:szCs w:val="21"/>
        </w:rPr>
      </w:pPr>
      <w:r>
        <w:rPr>
          <w:rFonts w:ascii="Rubik" w:eastAsia="Rubik" w:hAnsi="Rubik" w:cs="Rubik"/>
          <w:sz w:val="21"/>
          <w:szCs w:val="21"/>
        </w:rPr>
        <w:t xml:space="preserve">Ese compromiso con el entorno y las personas se ha reforzado con acciones sociales, educativas y de voluntariado. En 2024, Lactalis España donó más de 730 000 kilos de alimentos a más de 100 bancos de alimentos y entidades sociales, promovió el deporte base, la cultura y talleres de educación nutricional para niños y mayores. Además, sensibilizó al equipo mediante iniciativas como el </w:t>
      </w:r>
      <w:r>
        <w:rPr>
          <w:rFonts w:ascii="Rubik" w:eastAsia="Rubik" w:hAnsi="Rubik" w:cs="Rubik"/>
          <w:i/>
          <w:sz w:val="21"/>
          <w:szCs w:val="21"/>
        </w:rPr>
        <w:t xml:space="preserve">World </w:t>
      </w:r>
      <w:proofErr w:type="spellStart"/>
      <w:r>
        <w:rPr>
          <w:rFonts w:ascii="Rubik" w:eastAsia="Rubik" w:hAnsi="Rubik" w:cs="Rubik"/>
          <w:i/>
          <w:sz w:val="21"/>
          <w:szCs w:val="21"/>
        </w:rPr>
        <w:t>Clean</w:t>
      </w:r>
      <w:proofErr w:type="spellEnd"/>
      <w:r>
        <w:rPr>
          <w:rFonts w:ascii="Rubik" w:eastAsia="Rubik" w:hAnsi="Rubik" w:cs="Rubik"/>
          <w:i/>
          <w:sz w:val="21"/>
          <w:szCs w:val="21"/>
        </w:rPr>
        <w:t xml:space="preserve"> Up Day</w:t>
      </w:r>
      <w:r>
        <w:rPr>
          <w:rFonts w:ascii="Rubik" w:eastAsia="Rubik" w:hAnsi="Rubik" w:cs="Rubik"/>
          <w:sz w:val="21"/>
          <w:szCs w:val="21"/>
        </w:rPr>
        <w:t xml:space="preserve">, que en su última edición reunió a personal de la compañía en Granada, Cornellà y Madrid, donde se recogieron más de 500 kilos de </w:t>
      </w:r>
      <w:proofErr w:type="spellStart"/>
      <w:r>
        <w:rPr>
          <w:rFonts w:ascii="Rubik" w:eastAsia="Rubik" w:hAnsi="Rubik" w:cs="Rubik"/>
          <w:sz w:val="21"/>
          <w:szCs w:val="21"/>
        </w:rPr>
        <w:t>basuraleza</w:t>
      </w:r>
      <w:proofErr w:type="spellEnd"/>
      <w:r>
        <w:rPr>
          <w:rFonts w:ascii="Rubik" w:eastAsia="Rubik" w:hAnsi="Rubik" w:cs="Rubik"/>
          <w:sz w:val="21"/>
          <w:szCs w:val="21"/>
        </w:rPr>
        <w:t>.</w:t>
      </w:r>
    </w:p>
    <w:p w14:paraId="1E02A03E" w14:textId="77777777" w:rsidR="00C63326" w:rsidRDefault="00413F1A">
      <w:pPr>
        <w:jc w:val="both"/>
        <w:rPr>
          <w:rFonts w:ascii="Rubik" w:eastAsia="Rubik" w:hAnsi="Rubik" w:cs="Rubik"/>
          <w:sz w:val="21"/>
          <w:szCs w:val="21"/>
        </w:rPr>
      </w:pPr>
      <w:r>
        <w:rPr>
          <w:rFonts w:ascii="Rubik" w:eastAsia="Rubik" w:hAnsi="Rubik" w:cs="Rubik"/>
          <w:sz w:val="21"/>
          <w:szCs w:val="21"/>
        </w:rPr>
        <w:t xml:space="preserve">La garantía de calidad y seguridad alimentaria es otro pilar esencial de la actividad. En 2024 se realizaron más de 2 000 análisis durante la vida útil de los productos, 145 auditorías externas y 40 internas, avaladas por 61 certificaciones internacionales. Este esfuerzo se ha visto recompensado con varios premios de ámbito nacional -Cincho de Oro para Flor de Esgueva; y un doble reconocimiento (oro y bronce) en los Premios Villa de Mora para Don Bernardo- e internacional -8 medallas en los </w:t>
      </w:r>
      <w:r>
        <w:rPr>
          <w:rFonts w:ascii="Rubik" w:eastAsia="Rubik" w:hAnsi="Rubik" w:cs="Rubik"/>
          <w:i/>
          <w:sz w:val="21"/>
          <w:szCs w:val="21"/>
        </w:rPr>
        <w:t xml:space="preserve">World </w:t>
      </w:r>
      <w:proofErr w:type="spellStart"/>
      <w:r>
        <w:rPr>
          <w:rFonts w:ascii="Rubik" w:eastAsia="Rubik" w:hAnsi="Rubik" w:cs="Rubik"/>
          <w:i/>
          <w:sz w:val="21"/>
          <w:szCs w:val="21"/>
        </w:rPr>
        <w:t>Cheese</w:t>
      </w:r>
      <w:proofErr w:type="spellEnd"/>
      <w:r>
        <w:rPr>
          <w:rFonts w:ascii="Rubik" w:eastAsia="Rubik" w:hAnsi="Rubik" w:cs="Rubik"/>
          <w:i/>
          <w:sz w:val="21"/>
          <w:szCs w:val="21"/>
        </w:rPr>
        <w:t xml:space="preserve"> </w:t>
      </w:r>
      <w:proofErr w:type="spellStart"/>
      <w:r>
        <w:rPr>
          <w:rFonts w:ascii="Rubik" w:eastAsia="Rubik" w:hAnsi="Rubik" w:cs="Rubik"/>
          <w:i/>
          <w:sz w:val="21"/>
          <w:szCs w:val="21"/>
        </w:rPr>
        <w:t>Awards</w:t>
      </w:r>
      <w:proofErr w:type="spellEnd"/>
      <w:r>
        <w:rPr>
          <w:rFonts w:ascii="Rubik" w:eastAsia="Rubik" w:hAnsi="Rubik" w:cs="Rubik"/>
          <w:sz w:val="21"/>
          <w:szCs w:val="21"/>
        </w:rPr>
        <w:t>-.</w:t>
      </w:r>
    </w:p>
    <w:p w14:paraId="1E02A03F" w14:textId="77777777" w:rsidR="00C63326" w:rsidRDefault="00413F1A">
      <w:pPr>
        <w:jc w:val="both"/>
        <w:rPr>
          <w:rFonts w:ascii="Rubik" w:eastAsia="Rubik" w:hAnsi="Rubik" w:cs="Rubik"/>
          <w:i/>
          <w:sz w:val="21"/>
          <w:szCs w:val="21"/>
        </w:rPr>
      </w:pPr>
      <w:r>
        <w:rPr>
          <w:rFonts w:ascii="Rubik" w:eastAsia="Rubik" w:hAnsi="Rubik" w:cs="Rubik"/>
          <w:sz w:val="21"/>
          <w:szCs w:val="21"/>
        </w:rPr>
        <w:t xml:space="preserve">A este compromiso con la excelencia se suma una cultura de gobernanza sólida y responsable. Todas las campañas de comunicación publicitaria fueron sometidas al dictamen de Autocontrol. El 99% de los controles de </w:t>
      </w:r>
      <w:proofErr w:type="spellStart"/>
      <w:r>
        <w:rPr>
          <w:rFonts w:ascii="Rubik" w:eastAsia="Rubik" w:hAnsi="Rubik" w:cs="Rubik"/>
          <w:i/>
          <w:sz w:val="21"/>
          <w:szCs w:val="21"/>
        </w:rPr>
        <w:t>compliance</w:t>
      </w:r>
      <w:proofErr w:type="spellEnd"/>
      <w:r>
        <w:rPr>
          <w:rFonts w:ascii="Rubik" w:eastAsia="Rubik" w:hAnsi="Rubik" w:cs="Rubik"/>
          <w:i/>
          <w:sz w:val="21"/>
          <w:szCs w:val="21"/>
        </w:rPr>
        <w:t xml:space="preserve"> </w:t>
      </w:r>
      <w:r>
        <w:rPr>
          <w:rFonts w:ascii="Rubik" w:eastAsia="Rubik" w:hAnsi="Rubik" w:cs="Rubik"/>
          <w:sz w:val="21"/>
          <w:szCs w:val="21"/>
        </w:rPr>
        <w:t>penal se superó con éxito y el 80% de la plantilla participó en formaciones sobre ética, sostenibilidad y protección de datos.</w:t>
      </w:r>
      <w:r>
        <w:rPr>
          <w:rFonts w:ascii="Rubik" w:eastAsia="Rubik" w:hAnsi="Rubik" w:cs="Rubik"/>
          <w:i/>
          <w:sz w:val="21"/>
          <w:szCs w:val="21"/>
        </w:rPr>
        <w:t xml:space="preserve"> </w:t>
      </w:r>
    </w:p>
    <w:p w14:paraId="1E02A040" w14:textId="77777777" w:rsidR="00C63326" w:rsidRDefault="00413F1A">
      <w:pPr>
        <w:jc w:val="both"/>
        <w:rPr>
          <w:rFonts w:ascii="Rubik Light" w:eastAsia="Rubik Light" w:hAnsi="Rubik Light" w:cs="Rubik Light"/>
          <w:sz w:val="21"/>
          <w:szCs w:val="21"/>
        </w:rPr>
      </w:pPr>
      <w:r>
        <w:rPr>
          <w:rFonts w:ascii="Rubik Light" w:eastAsia="Rubik Light" w:hAnsi="Rubik Light" w:cs="Rubik Light"/>
          <w:i/>
          <w:sz w:val="21"/>
          <w:szCs w:val="21"/>
        </w:rPr>
        <w:t xml:space="preserve">“En un entorno complejo y cambiante, en 2024 consolidamos una organización más conectada, transversal y orientada al futuro. Hemos reforzado la cohesión interna, avanzado en eficiencia y creado las condiciones para un crecimiento rentable, responsable y sostenible. Todo ello sin perder de vista lo esencial: nuestra capacidad de generar valor para las </w:t>
      </w:r>
      <w:r>
        <w:rPr>
          <w:rFonts w:ascii="Rubik Light" w:eastAsia="Rubik Light" w:hAnsi="Rubik Light" w:cs="Rubik Light"/>
          <w:i/>
          <w:sz w:val="21"/>
          <w:szCs w:val="21"/>
        </w:rPr>
        <w:lastRenderedPageBreak/>
        <w:t>personas, el entorno y el sector lácteo en su conjunto”</w:t>
      </w:r>
      <w:r>
        <w:rPr>
          <w:rFonts w:ascii="Rubik Light" w:eastAsia="Rubik Light" w:hAnsi="Rubik Light" w:cs="Rubik Light"/>
          <w:sz w:val="21"/>
          <w:szCs w:val="21"/>
        </w:rPr>
        <w:t xml:space="preserve">, </w:t>
      </w:r>
      <w:r>
        <w:rPr>
          <w:rFonts w:ascii="Rubik Light" w:eastAsia="Rubik Light" w:hAnsi="Rubik Light" w:cs="Rubik Light"/>
          <w:b/>
          <w:sz w:val="21"/>
          <w:szCs w:val="21"/>
        </w:rPr>
        <w:t xml:space="preserve">afirma David </w:t>
      </w:r>
      <w:proofErr w:type="spellStart"/>
      <w:r>
        <w:rPr>
          <w:rFonts w:ascii="Rubik Light" w:eastAsia="Rubik Light" w:hAnsi="Rubik Light" w:cs="Rubik Light"/>
          <w:b/>
          <w:sz w:val="21"/>
          <w:szCs w:val="21"/>
        </w:rPr>
        <w:t>Saliot</w:t>
      </w:r>
      <w:proofErr w:type="spellEnd"/>
      <w:r>
        <w:rPr>
          <w:rFonts w:ascii="Rubik Light" w:eastAsia="Rubik Light" w:hAnsi="Rubik Light" w:cs="Rubik Light"/>
          <w:b/>
          <w:sz w:val="21"/>
          <w:szCs w:val="21"/>
        </w:rPr>
        <w:t>, consejero delegado de Lactalis España y Portugal.</w:t>
      </w:r>
    </w:p>
    <w:p w14:paraId="1E02A041" w14:textId="77777777" w:rsidR="00C63326" w:rsidRDefault="00413F1A">
      <w:pPr>
        <w:jc w:val="both"/>
        <w:rPr>
          <w:rFonts w:ascii="Rubik" w:eastAsia="Rubik" w:hAnsi="Rubik" w:cs="Rubik"/>
          <w:sz w:val="21"/>
          <w:szCs w:val="21"/>
        </w:rPr>
      </w:pPr>
      <w:r>
        <w:rPr>
          <w:rFonts w:ascii="Rubik" w:eastAsia="Rubik" w:hAnsi="Rubik" w:cs="Rubik"/>
          <w:sz w:val="21"/>
          <w:szCs w:val="21"/>
        </w:rPr>
        <w:t xml:space="preserve">Esta visión se apoya en una estructura organizativa que ha culminado una etapa de cambios en 2025 con la designación de David </w:t>
      </w:r>
      <w:proofErr w:type="spellStart"/>
      <w:r>
        <w:rPr>
          <w:rFonts w:ascii="Rubik" w:eastAsia="Rubik" w:hAnsi="Rubik" w:cs="Rubik"/>
          <w:sz w:val="21"/>
          <w:szCs w:val="21"/>
        </w:rPr>
        <w:t>Saliot</w:t>
      </w:r>
      <w:proofErr w:type="spellEnd"/>
      <w:r>
        <w:rPr>
          <w:rFonts w:ascii="Rubik" w:eastAsia="Rubik" w:hAnsi="Rubik" w:cs="Rubik"/>
          <w:sz w:val="21"/>
          <w:szCs w:val="21"/>
        </w:rPr>
        <w:t xml:space="preserve"> como consejero delegado de Lactalis España y Portugal. </w:t>
      </w:r>
      <w:proofErr w:type="spellStart"/>
      <w:r>
        <w:rPr>
          <w:rFonts w:ascii="Rubik" w:eastAsia="Rubik" w:hAnsi="Rubik" w:cs="Rubik"/>
          <w:sz w:val="21"/>
          <w:szCs w:val="21"/>
        </w:rPr>
        <w:t>Saliot</w:t>
      </w:r>
      <w:proofErr w:type="spellEnd"/>
      <w:r>
        <w:rPr>
          <w:rFonts w:ascii="Rubik" w:eastAsia="Rubik" w:hAnsi="Rubik" w:cs="Rubik"/>
          <w:sz w:val="21"/>
          <w:szCs w:val="21"/>
        </w:rPr>
        <w:t xml:space="preserve"> lidera un equipo compuesto por los directores generales de cada unidad de negocio —Daniel Isart (Lactalis Puleva), Borja Galindo (Lactalis </w:t>
      </w:r>
      <w:proofErr w:type="spellStart"/>
      <w:r>
        <w:rPr>
          <w:rFonts w:ascii="Rubik" w:eastAsia="Rubik" w:hAnsi="Rubik" w:cs="Rubik"/>
          <w:sz w:val="21"/>
          <w:szCs w:val="21"/>
        </w:rPr>
        <w:t>Forlasa</w:t>
      </w:r>
      <w:proofErr w:type="spellEnd"/>
      <w:r>
        <w:rPr>
          <w:rFonts w:ascii="Rubik" w:eastAsia="Rubik" w:hAnsi="Rubik" w:cs="Rubik"/>
          <w:sz w:val="21"/>
          <w:szCs w:val="21"/>
        </w:rPr>
        <w:t xml:space="preserve">), Miguel Chapa (Lactalis </w:t>
      </w:r>
      <w:proofErr w:type="spellStart"/>
      <w:r>
        <w:rPr>
          <w:rFonts w:ascii="Rubik" w:eastAsia="Rubik" w:hAnsi="Rubik" w:cs="Rubik"/>
          <w:sz w:val="21"/>
          <w:szCs w:val="21"/>
        </w:rPr>
        <w:t>Foodservice</w:t>
      </w:r>
      <w:proofErr w:type="spellEnd"/>
      <w:r>
        <w:rPr>
          <w:rFonts w:ascii="Rubik" w:eastAsia="Rubik" w:hAnsi="Rubik" w:cs="Rubik"/>
          <w:sz w:val="21"/>
          <w:szCs w:val="21"/>
        </w:rPr>
        <w:t xml:space="preserve">), Javier Estrada (Lactalis Nutrición) y Miguel </w:t>
      </w:r>
      <w:proofErr w:type="spellStart"/>
      <w:r>
        <w:rPr>
          <w:rFonts w:ascii="Rubik" w:eastAsia="Rubik" w:hAnsi="Rubik" w:cs="Rubik"/>
          <w:sz w:val="21"/>
          <w:szCs w:val="21"/>
        </w:rPr>
        <w:t>Romao</w:t>
      </w:r>
      <w:proofErr w:type="spellEnd"/>
      <w:r>
        <w:rPr>
          <w:rFonts w:ascii="Rubik" w:eastAsia="Rubik" w:hAnsi="Rubik" w:cs="Rubik"/>
          <w:sz w:val="21"/>
          <w:szCs w:val="21"/>
        </w:rPr>
        <w:t xml:space="preserve"> (Lactalis Portugal)—, junto con una estructura corporativa que ha ampliado su ámbito de actuación para prestar servicio tanto en España como en Portugal en funciones clave como compras, calidad, industrial,</w:t>
      </w:r>
      <w:r>
        <w:rPr>
          <w:rFonts w:ascii="Rubik" w:eastAsia="Rubik" w:hAnsi="Rubik" w:cs="Rubik"/>
          <w:sz w:val="21"/>
          <w:szCs w:val="21"/>
        </w:rPr>
        <w:t xml:space="preserve"> I+D, recursos humanos, comunicación, sostenibilidad o asuntos públicos. Por su parte, Lluís Farré continúa como consejero delegado de la </w:t>
      </w:r>
      <w:proofErr w:type="spellStart"/>
      <w:proofErr w:type="gramStart"/>
      <w:r>
        <w:rPr>
          <w:rFonts w:ascii="Rubik" w:eastAsia="Rubik" w:hAnsi="Rubik" w:cs="Rubik"/>
          <w:sz w:val="21"/>
          <w:szCs w:val="21"/>
        </w:rPr>
        <w:t>joint</w:t>
      </w:r>
      <w:proofErr w:type="spellEnd"/>
      <w:r>
        <w:rPr>
          <w:rFonts w:ascii="Rubik" w:eastAsia="Rubik" w:hAnsi="Rubik" w:cs="Rubik"/>
          <w:sz w:val="21"/>
          <w:szCs w:val="21"/>
        </w:rPr>
        <w:t>-venture</w:t>
      </w:r>
      <w:proofErr w:type="gramEnd"/>
      <w:r>
        <w:rPr>
          <w:rFonts w:ascii="Rubik" w:eastAsia="Rubik" w:hAnsi="Rubik" w:cs="Rubik"/>
          <w:sz w:val="21"/>
          <w:szCs w:val="21"/>
        </w:rPr>
        <w:t xml:space="preserve"> Lactalis Nestlé.</w:t>
      </w:r>
    </w:p>
    <w:p w14:paraId="1E02A042" w14:textId="77777777" w:rsidR="00C63326" w:rsidRDefault="00413F1A">
      <w:pPr>
        <w:jc w:val="both"/>
        <w:rPr>
          <w:rFonts w:ascii="Rubik" w:eastAsia="Rubik" w:hAnsi="Rubik" w:cs="Rubik"/>
          <w:sz w:val="19"/>
          <w:szCs w:val="19"/>
        </w:rPr>
      </w:pPr>
      <w:r>
        <w:rPr>
          <w:rFonts w:ascii="Rubik" w:eastAsia="Rubik" w:hAnsi="Rubik" w:cs="Rubik"/>
          <w:b/>
          <w:sz w:val="19"/>
          <w:szCs w:val="19"/>
        </w:rPr>
        <w:t xml:space="preserve">Acceso directo al informe de Responsabilidad Social Corporativa de Lactalis España 2024: </w:t>
      </w:r>
      <w:r>
        <w:rPr>
          <w:rFonts w:ascii="Rubik" w:eastAsia="Rubik" w:hAnsi="Rubik" w:cs="Rubik"/>
          <w:sz w:val="19"/>
          <w:szCs w:val="19"/>
        </w:rPr>
        <w:t>https://www.lactalis.es/compromiso/informe-rsc/</w:t>
      </w:r>
    </w:p>
    <w:p w14:paraId="1E02A043" w14:textId="77777777" w:rsidR="00C63326" w:rsidRDefault="00413F1A">
      <w:pPr>
        <w:spacing w:after="0" w:line="240" w:lineRule="auto"/>
        <w:jc w:val="both"/>
        <w:rPr>
          <w:rFonts w:ascii="Rubik" w:eastAsia="Rubik" w:hAnsi="Rubik" w:cs="Rubik"/>
          <w:b/>
          <w:color w:val="002060"/>
          <w:sz w:val="18"/>
          <w:szCs w:val="18"/>
        </w:rPr>
      </w:pPr>
      <w:r>
        <w:rPr>
          <w:rFonts w:ascii="Rubik" w:eastAsia="Rubik" w:hAnsi="Rubik" w:cs="Rubik"/>
          <w:b/>
          <w:color w:val="002060"/>
          <w:sz w:val="18"/>
          <w:szCs w:val="18"/>
        </w:rPr>
        <w:br/>
      </w:r>
      <w:r>
        <w:rPr>
          <w:rFonts w:ascii="Rubik" w:eastAsia="Rubik" w:hAnsi="Rubik" w:cs="Rubik"/>
          <w:b/>
          <w:color w:val="002060"/>
          <w:sz w:val="18"/>
          <w:szCs w:val="18"/>
        </w:rPr>
        <w:t>Sobre LACTALIS ESPAÑA</w:t>
      </w:r>
      <w:r>
        <w:rPr>
          <w:noProof/>
        </w:rPr>
        <w:drawing>
          <wp:anchor distT="0" distB="0" distL="114300" distR="114300" simplePos="0" relativeHeight="251658240" behindDoc="0" locked="0" layoutInCell="1" hidden="0" allowOverlap="1" wp14:anchorId="1E02A053" wp14:editId="1E02A054">
            <wp:simplePos x="0" y="0"/>
            <wp:positionH relativeFrom="column">
              <wp:posOffset>-21589</wp:posOffset>
            </wp:positionH>
            <wp:positionV relativeFrom="paragraph">
              <wp:posOffset>33020</wp:posOffset>
            </wp:positionV>
            <wp:extent cx="1973751" cy="99069"/>
            <wp:effectExtent l="0" t="0" r="0" b="0"/>
            <wp:wrapSquare wrapText="bothSides" distT="0" distB="0" distL="114300" distR="114300"/>
            <wp:docPr id="10988573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73751" cy="99069"/>
                    </a:xfrm>
                    <a:prstGeom prst="rect">
                      <a:avLst/>
                    </a:prstGeom>
                    <a:ln/>
                  </pic:spPr>
                </pic:pic>
              </a:graphicData>
            </a:graphic>
          </wp:anchor>
        </w:drawing>
      </w:r>
    </w:p>
    <w:p w14:paraId="1E02A044" w14:textId="77777777" w:rsidR="00C63326" w:rsidRDefault="00C63326">
      <w:pPr>
        <w:spacing w:after="0" w:line="240" w:lineRule="auto"/>
        <w:jc w:val="both"/>
        <w:rPr>
          <w:rFonts w:ascii="Rubik" w:eastAsia="Rubik" w:hAnsi="Rubik" w:cs="Rubik"/>
          <w:b/>
          <w:color w:val="002060"/>
          <w:sz w:val="18"/>
          <w:szCs w:val="18"/>
        </w:rPr>
      </w:pPr>
    </w:p>
    <w:p w14:paraId="1E02A045" w14:textId="77777777" w:rsidR="00C63326" w:rsidRDefault="00413F1A">
      <w:pPr>
        <w:jc w:val="both"/>
        <w:rPr>
          <w:rFonts w:ascii="Rubik" w:eastAsia="Rubik" w:hAnsi="Rubik" w:cs="Rubik"/>
          <w:sz w:val="18"/>
          <w:szCs w:val="18"/>
        </w:rPr>
      </w:pPr>
      <w:r>
        <w:rPr>
          <w:rFonts w:ascii="Rubik" w:eastAsia="Rubik" w:hAnsi="Rubik" w:cs="Rubik"/>
          <w:color w:val="002060"/>
          <w:sz w:val="18"/>
          <w:szCs w:val="18"/>
        </w:rPr>
        <w:t>Lactalis es líder mundial en productos lácteos, con presencia en 150 países, más de 85 500 colaboradores y 266 centros de producción. En España opera desde 1983 con 8 plantas industriales —6 en municipios de menos de 25 000 habitantes— y 2 617 profesionales. Colabora con 1 458 ganaderías en 13 comunidades autónomas, recogiendo 993 millones de litros de leche en 2024, el 97,7% certificados en Bienestar Animal. Su actividad se estructura en unidades de negocio especializadas: Lactalis Puleva (líder en leche y</w:t>
      </w:r>
      <w:r>
        <w:rPr>
          <w:rFonts w:ascii="Rubik" w:eastAsia="Rubik" w:hAnsi="Rubik" w:cs="Rubik"/>
          <w:color w:val="002060"/>
          <w:sz w:val="18"/>
          <w:szCs w:val="18"/>
        </w:rPr>
        <w:t xml:space="preserve"> nutrición), Lactalis </w:t>
      </w:r>
      <w:proofErr w:type="spellStart"/>
      <w:r>
        <w:rPr>
          <w:rFonts w:ascii="Rubik" w:eastAsia="Rubik" w:hAnsi="Rubik" w:cs="Rubik"/>
          <w:color w:val="002060"/>
          <w:sz w:val="18"/>
          <w:szCs w:val="18"/>
        </w:rPr>
        <w:t>Forlasa</w:t>
      </w:r>
      <w:proofErr w:type="spellEnd"/>
      <w:r>
        <w:rPr>
          <w:rFonts w:ascii="Rubik" w:eastAsia="Rubik" w:hAnsi="Rubik" w:cs="Rubik"/>
          <w:color w:val="002060"/>
          <w:sz w:val="18"/>
          <w:szCs w:val="18"/>
        </w:rPr>
        <w:t xml:space="preserve"> (quesos), Lactalis </w:t>
      </w:r>
      <w:proofErr w:type="spellStart"/>
      <w:r>
        <w:rPr>
          <w:rFonts w:ascii="Rubik" w:eastAsia="Rubik" w:hAnsi="Rubik" w:cs="Rubik"/>
          <w:color w:val="002060"/>
          <w:sz w:val="18"/>
          <w:szCs w:val="18"/>
        </w:rPr>
        <w:t>Foodservice</w:t>
      </w:r>
      <w:proofErr w:type="spellEnd"/>
      <w:r>
        <w:rPr>
          <w:rFonts w:ascii="Rubik" w:eastAsia="Rubik" w:hAnsi="Rubik" w:cs="Rubik"/>
          <w:color w:val="002060"/>
          <w:sz w:val="18"/>
          <w:szCs w:val="18"/>
        </w:rPr>
        <w:t xml:space="preserve"> (canal profesional), Lactalis Nutrición (productos infantiles y clínicos) y la </w:t>
      </w:r>
      <w:proofErr w:type="spellStart"/>
      <w:proofErr w:type="gramStart"/>
      <w:r>
        <w:rPr>
          <w:rFonts w:ascii="Rubik" w:eastAsia="Rubik" w:hAnsi="Rubik" w:cs="Rubik"/>
          <w:color w:val="002060"/>
          <w:sz w:val="18"/>
          <w:szCs w:val="18"/>
        </w:rPr>
        <w:t>joint</w:t>
      </w:r>
      <w:proofErr w:type="spellEnd"/>
      <w:r>
        <w:rPr>
          <w:rFonts w:ascii="Rubik" w:eastAsia="Rubik" w:hAnsi="Rubik" w:cs="Rubik"/>
          <w:color w:val="002060"/>
          <w:sz w:val="18"/>
          <w:szCs w:val="18"/>
        </w:rPr>
        <w:t>-venture</w:t>
      </w:r>
      <w:proofErr w:type="gramEnd"/>
      <w:r>
        <w:rPr>
          <w:rFonts w:ascii="Rubik" w:eastAsia="Rubik" w:hAnsi="Rubik" w:cs="Rubik"/>
          <w:color w:val="002060"/>
          <w:sz w:val="18"/>
          <w:szCs w:val="18"/>
        </w:rPr>
        <w:t xml:space="preserve"> Lactalis Nestlé (yogures y postres). Cuenta con marcas como Puleva, Président, Galbani, Flor de Esgueva o El Ventero, así como las gestionadas por la </w:t>
      </w:r>
      <w:proofErr w:type="spellStart"/>
      <w:proofErr w:type="gramStart"/>
      <w:r>
        <w:rPr>
          <w:rFonts w:ascii="Rubik" w:eastAsia="Rubik" w:hAnsi="Rubik" w:cs="Rubik"/>
          <w:color w:val="002060"/>
          <w:sz w:val="18"/>
          <w:szCs w:val="18"/>
        </w:rPr>
        <w:t>joint</w:t>
      </w:r>
      <w:proofErr w:type="spellEnd"/>
      <w:r>
        <w:rPr>
          <w:rFonts w:ascii="Rubik" w:eastAsia="Rubik" w:hAnsi="Rubik" w:cs="Rubik"/>
          <w:color w:val="002060"/>
          <w:sz w:val="18"/>
          <w:szCs w:val="18"/>
        </w:rPr>
        <w:t>-venture</w:t>
      </w:r>
      <w:proofErr w:type="gramEnd"/>
      <w:r>
        <w:rPr>
          <w:rFonts w:ascii="Rubik" w:eastAsia="Rubik" w:hAnsi="Rubik" w:cs="Rubik"/>
          <w:color w:val="002060"/>
          <w:sz w:val="18"/>
          <w:szCs w:val="18"/>
        </w:rPr>
        <w:t xml:space="preserve"> Lactalis Nestlé, como La Lechera, Yogures Nestlé, </w:t>
      </w:r>
      <w:proofErr w:type="spellStart"/>
      <w:r>
        <w:rPr>
          <w:rFonts w:ascii="Rubik" w:eastAsia="Rubik" w:hAnsi="Rubik" w:cs="Rubik"/>
          <w:color w:val="002060"/>
          <w:sz w:val="18"/>
          <w:szCs w:val="18"/>
        </w:rPr>
        <w:t>Nescafé</w:t>
      </w:r>
      <w:proofErr w:type="spellEnd"/>
      <w:r>
        <w:rPr>
          <w:rFonts w:ascii="Rubik" w:eastAsia="Rubik" w:hAnsi="Rubik" w:cs="Rubik"/>
          <w:color w:val="002060"/>
          <w:sz w:val="18"/>
          <w:szCs w:val="18"/>
        </w:rPr>
        <w:t xml:space="preserve"> </w:t>
      </w:r>
      <w:proofErr w:type="spellStart"/>
      <w:r>
        <w:rPr>
          <w:rFonts w:ascii="Rubik" w:eastAsia="Rubik" w:hAnsi="Rubik" w:cs="Rubik"/>
          <w:color w:val="002060"/>
          <w:sz w:val="18"/>
          <w:szCs w:val="18"/>
        </w:rPr>
        <w:t>Latte</w:t>
      </w:r>
      <w:proofErr w:type="spellEnd"/>
      <w:r>
        <w:rPr>
          <w:rFonts w:ascii="Rubik" w:eastAsia="Rubik" w:hAnsi="Rubik" w:cs="Rubik"/>
          <w:color w:val="002060"/>
          <w:sz w:val="18"/>
          <w:szCs w:val="18"/>
        </w:rPr>
        <w:t xml:space="preserve"> o YAOS, que están presentes en más de 12 millones de hogares. Con un </w:t>
      </w:r>
      <w:proofErr w:type="spellStart"/>
      <w:r>
        <w:rPr>
          <w:rFonts w:ascii="Rubik" w:eastAsia="Rubik" w:hAnsi="Rubik" w:cs="Rubik"/>
          <w:color w:val="002060"/>
          <w:sz w:val="18"/>
          <w:szCs w:val="18"/>
        </w:rPr>
        <w:t>mix</w:t>
      </w:r>
      <w:proofErr w:type="spellEnd"/>
      <w:r>
        <w:rPr>
          <w:rFonts w:ascii="Rubik" w:eastAsia="Rubik" w:hAnsi="Rubik" w:cs="Rubik"/>
          <w:color w:val="002060"/>
          <w:sz w:val="18"/>
          <w:szCs w:val="18"/>
        </w:rPr>
        <w:t xml:space="preserve"> equilibrado por categorías, Lactalis apuesta por la soste</w:t>
      </w:r>
      <w:r>
        <w:rPr>
          <w:rFonts w:ascii="Rubik" w:eastAsia="Rubik" w:hAnsi="Rubik" w:cs="Rubik"/>
          <w:color w:val="002060"/>
          <w:sz w:val="18"/>
          <w:szCs w:val="18"/>
        </w:rPr>
        <w:t xml:space="preserve">nibilidad en toda la cadena de valor láctea, la economía circular y la descarbonización, con objetivos climáticos validados por </w:t>
      </w:r>
      <w:proofErr w:type="spellStart"/>
      <w:r>
        <w:rPr>
          <w:rFonts w:ascii="Rubik" w:eastAsia="Rubik" w:hAnsi="Rubik" w:cs="Rubik"/>
          <w:color w:val="002060"/>
          <w:sz w:val="18"/>
          <w:szCs w:val="18"/>
        </w:rPr>
        <w:t>SBTi</w:t>
      </w:r>
      <w:proofErr w:type="spellEnd"/>
      <w:r>
        <w:rPr>
          <w:rFonts w:ascii="Rubik" w:eastAsia="Rubik" w:hAnsi="Rubik" w:cs="Rubik"/>
          <w:color w:val="002060"/>
          <w:sz w:val="18"/>
          <w:szCs w:val="18"/>
        </w:rPr>
        <w:t xml:space="preserve">. Más información en </w:t>
      </w:r>
      <w:hyperlink r:id="rId8">
        <w:r>
          <w:rPr>
            <w:rFonts w:ascii="Rubik" w:eastAsia="Rubik" w:hAnsi="Rubik" w:cs="Rubik"/>
            <w:color w:val="0000FF"/>
            <w:sz w:val="18"/>
            <w:szCs w:val="18"/>
            <w:u w:val="single"/>
          </w:rPr>
          <w:t>www.lactalis.es</w:t>
        </w:r>
      </w:hyperlink>
    </w:p>
    <w:p w14:paraId="1E02A046" w14:textId="77777777" w:rsidR="00C63326" w:rsidRDefault="00C63326">
      <w:pPr>
        <w:spacing w:after="0" w:line="240" w:lineRule="auto"/>
        <w:jc w:val="both"/>
        <w:rPr>
          <w:rFonts w:ascii="Rubik" w:eastAsia="Rubik" w:hAnsi="Rubik" w:cs="Rubik"/>
          <w:b/>
          <w:sz w:val="18"/>
          <w:szCs w:val="18"/>
        </w:rPr>
      </w:pPr>
    </w:p>
    <w:p w14:paraId="1E02A047" w14:textId="77777777" w:rsidR="00C63326" w:rsidRDefault="00413F1A">
      <w:pPr>
        <w:spacing w:after="0" w:line="240" w:lineRule="auto"/>
        <w:jc w:val="both"/>
        <w:rPr>
          <w:rFonts w:ascii="Rubik" w:eastAsia="Rubik" w:hAnsi="Rubik" w:cs="Rubik"/>
          <w:b/>
          <w:color w:val="002060"/>
          <w:sz w:val="18"/>
          <w:szCs w:val="18"/>
        </w:rPr>
      </w:pPr>
      <w:r>
        <w:rPr>
          <w:rFonts w:ascii="Rubik" w:eastAsia="Rubik" w:hAnsi="Rubik" w:cs="Rubik"/>
          <w:b/>
          <w:color w:val="002060"/>
          <w:sz w:val="18"/>
          <w:szCs w:val="18"/>
        </w:rPr>
        <w:t>CONTACTOS DE PRENSA LACTALIS ESPAÑA</w:t>
      </w:r>
    </w:p>
    <w:p w14:paraId="1E02A048" w14:textId="77777777" w:rsidR="00C63326" w:rsidRDefault="00C63326">
      <w:pPr>
        <w:spacing w:after="0" w:line="240" w:lineRule="auto"/>
        <w:jc w:val="both"/>
        <w:rPr>
          <w:rFonts w:ascii="Rubik" w:eastAsia="Rubik" w:hAnsi="Rubik" w:cs="Rubik"/>
          <w:b/>
          <w:color w:val="002060"/>
          <w:sz w:val="18"/>
          <w:szCs w:val="18"/>
        </w:rPr>
      </w:pPr>
    </w:p>
    <w:p w14:paraId="1E02A049" w14:textId="77777777" w:rsidR="00C63326" w:rsidRDefault="00413F1A">
      <w:pPr>
        <w:spacing w:after="0" w:line="240" w:lineRule="auto"/>
        <w:jc w:val="both"/>
        <w:rPr>
          <w:rFonts w:ascii="Rubik" w:eastAsia="Rubik" w:hAnsi="Rubik" w:cs="Rubik"/>
          <w:b/>
          <w:color w:val="002060"/>
          <w:sz w:val="18"/>
          <w:szCs w:val="18"/>
        </w:rPr>
      </w:pPr>
      <w:r>
        <w:rPr>
          <w:rFonts w:ascii="Rubik" w:eastAsia="Rubik" w:hAnsi="Rubik" w:cs="Rubik"/>
          <w:b/>
          <w:color w:val="002060"/>
          <w:sz w:val="18"/>
          <w:szCs w:val="18"/>
        </w:rPr>
        <w:t>Jorge Oliva</w:t>
      </w:r>
    </w:p>
    <w:p w14:paraId="1E02A04A" w14:textId="77777777" w:rsidR="00C63326" w:rsidRDefault="00413F1A">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Director de Comunicación y Asuntos Públicos</w:t>
      </w:r>
    </w:p>
    <w:p w14:paraId="1E02A04B" w14:textId="77777777" w:rsidR="00C63326" w:rsidRDefault="00413F1A">
      <w:pPr>
        <w:spacing w:after="0" w:line="240" w:lineRule="auto"/>
        <w:jc w:val="both"/>
        <w:rPr>
          <w:rFonts w:ascii="Rubik" w:eastAsia="Rubik" w:hAnsi="Rubik" w:cs="Rubik"/>
          <w:sz w:val="18"/>
          <w:szCs w:val="18"/>
        </w:rPr>
      </w:pPr>
      <w:hyperlink r:id="rId9">
        <w:r>
          <w:rPr>
            <w:rFonts w:ascii="Rubik" w:eastAsia="Rubik" w:hAnsi="Rubik" w:cs="Rubik"/>
            <w:color w:val="0000FF"/>
            <w:sz w:val="18"/>
            <w:szCs w:val="18"/>
            <w:u w:val="single"/>
          </w:rPr>
          <w:t>jorge.oliva@es.lactalis.com</w:t>
        </w:r>
      </w:hyperlink>
    </w:p>
    <w:p w14:paraId="1E02A04C" w14:textId="77777777" w:rsidR="00C63326" w:rsidRDefault="00413F1A">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Tel. 689 381 234</w:t>
      </w:r>
    </w:p>
    <w:p w14:paraId="1E02A04D" w14:textId="77777777" w:rsidR="00C63326" w:rsidRDefault="00C63326">
      <w:pPr>
        <w:spacing w:after="0" w:line="240" w:lineRule="auto"/>
        <w:jc w:val="both"/>
        <w:rPr>
          <w:rFonts w:ascii="Rubik" w:eastAsia="Rubik" w:hAnsi="Rubik" w:cs="Rubik"/>
          <w:color w:val="002060"/>
          <w:sz w:val="18"/>
          <w:szCs w:val="18"/>
        </w:rPr>
      </w:pPr>
    </w:p>
    <w:p w14:paraId="1E02A04E" w14:textId="77777777" w:rsidR="00C63326" w:rsidRDefault="00413F1A">
      <w:pPr>
        <w:spacing w:after="0" w:line="240" w:lineRule="auto"/>
        <w:jc w:val="both"/>
        <w:rPr>
          <w:rFonts w:ascii="Rubik" w:eastAsia="Rubik" w:hAnsi="Rubik" w:cs="Rubik"/>
          <w:b/>
          <w:color w:val="002060"/>
          <w:sz w:val="18"/>
          <w:szCs w:val="18"/>
        </w:rPr>
      </w:pPr>
      <w:r>
        <w:rPr>
          <w:rFonts w:ascii="Rubik" w:eastAsia="Rubik" w:hAnsi="Rubik" w:cs="Rubik"/>
          <w:b/>
          <w:color w:val="002060"/>
          <w:sz w:val="18"/>
          <w:szCs w:val="18"/>
        </w:rPr>
        <w:t>Juan Miguel Ramiro</w:t>
      </w:r>
    </w:p>
    <w:p w14:paraId="1E02A04F" w14:textId="77777777" w:rsidR="00C63326" w:rsidRDefault="00413F1A">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Responsable de Comunicación Externa</w:t>
      </w:r>
    </w:p>
    <w:p w14:paraId="1E02A050" w14:textId="77777777" w:rsidR="00C63326" w:rsidRDefault="00413F1A">
      <w:pPr>
        <w:spacing w:after="0" w:line="240" w:lineRule="auto"/>
        <w:jc w:val="both"/>
        <w:rPr>
          <w:rFonts w:ascii="Rubik" w:eastAsia="Rubik" w:hAnsi="Rubik" w:cs="Rubik"/>
          <w:sz w:val="18"/>
          <w:szCs w:val="18"/>
        </w:rPr>
      </w:pPr>
      <w:hyperlink r:id="rId10">
        <w:r>
          <w:rPr>
            <w:rFonts w:ascii="Rubik" w:eastAsia="Rubik" w:hAnsi="Rubik" w:cs="Rubik"/>
            <w:color w:val="0000FF"/>
            <w:sz w:val="18"/>
            <w:szCs w:val="18"/>
            <w:u w:val="single"/>
          </w:rPr>
          <w:t>juanmiguel.ramiro@es.lactalis.com</w:t>
        </w:r>
      </w:hyperlink>
    </w:p>
    <w:p w14:paraId="1E02A051" w14:textId="77777777" w:rsidR="00C63326" w:rsidRDefault="00413F1A">
      <w:pPr>
        <w:spacing w:after="0" w:line="240" w:lineRule="auto"/>
        <w:jc w:val="both"/>
        <w:rPr>
          <w:rFonts w:ascii="Rubik" w:eastAsia="Rubik" w:hAnsi="Rubik" w:cs="Rubik"/>
          <w:color w:val="002060"/>
          <w:sz w:val="18"/>
          <w:szCs w:val="18"/>
          <w:u w:val="single"/>
        </w:rPr>
      </w:pPr>
      <w:r>
        <w:rPr>
          <w:rFonts w:ascii="Rubik" w:eastAsia="Rubik" w:hAnsi="Rubik" w:cs="Rubik"/>
          <w:color w:val="002060"/>
          <w:sz w:val="18"/>
          <w:szCs w:val="18"/>
        </w:rPr>
        <w:t>Tel. 670 865 425</w:t>
      </w:r>
    </w:p>
    <w:p w14:paraId="1E02A052" w14:textId="77777777" w:rsidR="00C63326" w:rsidRDefault="00C63326">
      <w:pPr>
        <w:spacing w:line="276" w:lineRule="auto"/>
        <w:jc w:val="both"/>
        <w:rPr>
          <w:rFonts w:ascii="Rubik" w:eastAsia="Rubik" w:hAnsi="Rubik" w:cs="Rubik"/>
        </w:rPr>
      </w:pPr>
    </w:p>
    <w:sectPr w:rsidR="00C63326">
      <w:headerReference w:type="default" r:id="rId11"/>
      <w:footerReference w:type="default" r:id="rId12"/>
      <w:pgSz w:w="11906" w:h="16838"/>
      <w:pgMar w:top="1702" w:right="1416" w:bottom="1135"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2A05B" w14:textId="77777777" w:rsidR="00413F1A" w:rsidRDefault="00413F1A">
      <w:pPr>
        <w:spacing w:after="0" w:line="240" w:lineRule="auto"/>
      </w:pPr>
      <w:r>
        <w:separator/>
      </w:r>
    </w:p>
  </w:endnote>
  <w:endnote w:type="continuationSeparator" w:id="0">
    <w:p w14:paraId="1E02A05D" w14:textId="77777777" w:rsidR="00413F1A" w:rsidRDefault="00413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0186367-D739-494D-BBFD-E1B48E9F2056}"/>
    <w:embedBold r:id="rId2" w:fontKey="{BDCFF691-63B1-42FA-B63B-AE993EBDB38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E06C7F8-701D-4D56-8E2B-3FDAC80BC59E}"/>
  </w:font>
  <w:font w:name="Georgia">
    <w:panose1 w:val="02040502050405020303"/>
    <w:charset w:val="00"/>
    <w:family w:val="roman"/>
    <w:pitch w:val="variable"/>
    <w:sig w:usb0="00000287" w:usb1="00000000" w:usb2="00000000" w:usb3="00000000" w:csb0="0000009F" w:csb1="00000000"/>
    <w:embedRegular r:id="rId4" w:fontKey="{6A5BBBDA-5B0D-4D8B-84C3-6A43EE0CAE5D}"/>
    <w:embedItalic r:id="rId5" w:fontKey="{DF6CD5C6-DF3A-46EF-A017-83783A7BDABA}"/>
  </w:font>
  <w:font w:name="Rubik">
    <w:altName w:val="Calibri"/>
    <w:charset w:val="00"/>
    <w:family w:val="auto"/>
    <w:pitch w:val="default"/>
    <w:embedRegular r:id="rId6" w:fontKey="{C4A13165-B990-4C47-9BA3-E2DF0694AFA4}"/>
    <w:embedBold r:id="rId7" w:fontKey="{04B0BDC3-4021-4CD0-81CA-D7F32C8E084F}"/>
    <w:embedItalic r:id="rId8" w:fontKey="{1CBA0030-B2E2-4F50-9A04-5F675E8B6A83}"/>
  </w:font>
  <w:font w:name="Rubik Light">
    <w:charset w:val="00"/>
    <w:family w:val="auto"/>
    <w:pitch w:val="default"/>
    <w:embedRegular r:id="rId9" w:fontKey="{D1522BFC-C5FA-4D12-A005-2C862D333ADF}"/>
    <w:embedBold r:id="rId10" w:fontKey="{1A389BD3-0F21-45F8-9870-E73487FBF614}"/>
    <w:embedItalic r:id="rId11" w:fontKey="{4F32B59E-F55B-4259-AD5F-911ED221481C}"/>
  </w:font>
  <w:font w:name="Calibri Light">
    <w:panose1 w:val="020F0302020204030204"/>
    <w:charset w:val="00"/>
    <w:family w:val="swiss"/>
    <w:pitch w:val="variable"/>
    <w:sig w:usb0="E4002EFF" w:usb1="C200247B" w:usb2="00000009" w:usb3="00000000" w:csb0="000001FF" w:csb1="00000000"/>
    <w:embedRegular r:id="rId12" w:fontKey="{AC525B0B-E7C1-48D5-BF91-549FBD7D3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6" w14:textId="13756B33" w:rsidR="00C63326" w:rsidRDefault="00413F1A">
    <w:pPr>
      <w:pBdr>
        <w:top w:val="nil"/>
        <w:left w:val="nil"/>
        <w:bottom w:val="nil"/>
        <w:right w:val="nil"/>
        <w:between w:val="nil"/>
      </w:pBdr>
      <w:tabs>
        <w:tab w:val="center" w:pos="4252"/>
        <w:tab w:val="right" w:pos="8504"/>
      </w:tabs>
      <w:spacing w:after="0" w:line="240" w:lineRule="auto"/>
      <w:jc w:val="right"/>
      <w:rPr>
        <w:rFonts w:ascii="Rubik" w:eastAsia="Rubik" w:hAnsi="Rubik" w:cs="Rubik"/>
        <w:color w:val="000000"/>
        <w:sz w:val="21"/>
        <w:szCs w:val="21"/>
      </w:rPr>
    </w:pPr>
    <w:r>
      <w:rPr>
        <w:rFonts w:ascii="Rubik" w:eastAsia="Rubik" w:hAnsi="Rubik" w:cs="Rubik"/>
        <w:color w:val="000000"/>
        <w:sz w:val="21"/>
        <w:szCs w:val="21"/>
      </w:rPr>
      <w:fldChar w:fldCharType="begin"/>
    </w:r>
    <w:r>
      <w:rPr>
        <w:rFonts w:ascii="Rubik" w:eastAsia="Rubik" w:hAnsi="Rubik" w:cs="Rubik"/>
        <w:color w:val="000000"/>
        <w:sz w:val="21"/>
        <w:szCs w:val="21"/>
      </w:rPr>
      <w:instrText>PAGE</w:instrText>
    </w:r>
    <w:r>
      <w:rPr>
        <w:rFonts w:ascii="Rubik" w:eastAsia="Rubik" w:hAnsi="Rubik" w:cs="Rubik"/>
        <w:color w:val="000000"/>
        <w:sz w:val="21"/>
        <w:szCs w:val="21"/>
      </w:rPr>
      <w:fldChar w:fldCharType="separate"/>
    </w:r>
    <w:r>
      <w:rPr>
        <w:rFonts w:ascii="Rubik" w:eastAsia="Rubik" w:hAnsi="Rubik" w:cs="Rubik"/>
        <w:noProof/>
        <w:color w:val="000000"/>
        <w:sz w:val="21"/>
        <w:szCs w:val="21"/>
      </w:rPr>
      <w:t>1</w:t>
    </w:r>
    <w:r>
      <w:rPr>
        <w:rFonts w:ascii="Rubik" w:eastAsia="Rubik" w:hAnsi="Rubik" w:cs="Rubik"/>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2A057" w14:textId="77777777" w:rsidR="00413F1A" w:rsidRDefault="00413F1A">
      <w:pPr>
        <w:spacing w:after="0" w:line="240" w:lineRule="auto"/>
      </w:pPr>
      <w:r>
        <w:separator/>
      </w:r>
    </w:p>
  </w:footnote>
  <w:footnote w:type="continuationSeparator" w:id="0">
    <w:p w14:paraId="1E02A059" w14:textId="77777777" w:rsidR="00413F1A" w:rsidRDefault="00413F1A">
      <w:pPr>
        <w:spacing w:after="0" w:line="240" w:lineRule="auto"/>
      </w:pPr>
      <w:r>
        <w:continuationSeparator/>
      </w:r>
    </w:p>
  </w:footnote>
  <w:footnote w:id="1">
    <w:p w14:paraId="1E02A059" w14:textId="77777777" w:rsidR="00C63326" w:rsidRDefault="00413F1A">
      <w:pPr>
        <w:spacing w:after="0" w:line="240" w:lineRule="auto"/>
        <w:jc w:val="both"/>
        <w:rPr>
          <w:rFonts w:ascii="Rubik" w:eastAsia="Rubik" w:hAnsi="Rubik" w:cs="Rubik"/>
          <w:sz w:val="18"/>
          <w:szCs w:val="18"/>
        </w:rPr>
      </w:pPr>
      <w:r>
        <w:rPr>
          <w:vertAlign w:val="superscript"/>
        </w:rPr>
        <w:footnoteRef/>
      </w:r>
      <w:r>
        <w:rPr>
          <w:rFonts w:ascii="Rubik" w:eastAsia="Rubik" w:hAnsi="Rubik" w:cs="Rubik"/>
          <w:sz w:val="18"/>
          <w:szCs w:val="18"/>
        </w:rPr>
        <w:t xml:space="preserve"> Esta cifra sólo incluye impacto directo en España y excluye los siguientes conceptos: importación de productos terminados (especialidades internacionales) de grupo Lactalis, royalties, compras a proveedores internacionales, amortizaciones, gastos financieros y provisiones.</w:t>
      </w:r>
    </w:p>
  </w:footnote>
  <w:footnote w:id="2">
    <w:p w14:paraId="1E02A05A" w14:textId="77777777" w:rsidR="00C63326" w:rsidRDefault="00413F1A">
      <w:pPr>
        <w:pBdr>
          <w:top w:val="nil"/>
          <w:left w:val="nil"/>
          <w:bottom w:val="nil"/>
          <w:right w:val="nil"/>
          <w:between w:val="nil"/>
        </w:pBdr>
        <w:spacing w:after="0" w:line="240" w:lineRule="auto"/>
        <w:jc w:val="both"/>
        <w:rPr>
          <w:rFonts w:ascii="Rubik" w:eastAsia="Rubik" w:hAnsi="Rubik" w:cs="Rubik"/>
          <w:color w:val="000000"/>
          <w:sz w:val="18"/>
          <w:szCs w:val="18"/>
        </w:rPr>
      </w:pPr>
      <w:r>
        <w:rPr>
          <w:vertAlign w:val="superscript"/>
        </w:rPr>
        <w:footnoteRef/>
      </w:r>
      <w:r>
        <w:rPr>
          <w:color w:val="000000"/>
          <w:sz w:val="20"/>
          <w:szCs w:val="20"/>
        </w:rPr>
        <w:t xml:space="preserve"> </w:t>
      </w:r>
      <w:r>
        <w:rPr>
          <w:rFonts w:ascii="Rubik" w:eastAsia="Rubik" w:hAnsi="Rubik" w:cs="Rubik"/>
          <w:color w:val="000000"/>
          <w:sz w:val="18"/>
          <w:szCs w:val="18"/>
        </w:rPr>
        <w:t>Plástico reciclado asignado en Puleva Vita Calcio con el balance de masas certificado de ISCC.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5" w14:textId="77777777" w:rsidR="00C63326" w:rsidRDefault="00413F1A">
    <w:pPr>
      <w:pBdr>
        <w:top w:val="nil"/>
        <w:left w:val="nil"/>
        <w:bottom w:val="nil"/>
        <w:right w:val="nil"/>
        <w:between w:val="nil"/>
      </w:pBdr>
      <w:tabs>
        <w:tab w:val="center" w:pos="4252"/>
        <w:tab w:val="right" w:pos="8504"/>
      </w:tabs>
      <w:spacing w:after="0" w:line="240" w:lineRule="auto"/>
      <w:jc w:val="both"/>
      <w:rPr>
        <w:color w:val="000000"/>
      </w:rPr>
    </w:pPr>
    <w:r>
      <w:rPr>
        <w:noProof/>
      </w:rPr>
      <w:drawing>
        <wp:anchor distT="0" distB="0" distL="114300" distR="114300" simplePos="0" relativeHeight="251658240" behindDoc="0" locked="0" layoutInCell="1" hidden="0" allowOverlap="1" wp14:anchorId="1E02A057" wp14:editId="1E02A058">
          <wp:simplePos x="0" y="0"/>
          <wp:positionH relativeFrom="column">
            <wp:posOffset>-182000</wp:posOffset>
          </wp:positionH>
          <wp:positionV relativeFrom="paragraph">
            <wp:posOffset>3175</wp:posOffset>
          </wp:positionV>
          <wp:extent cx="1512606" cy="397826"/>
          <wp:effectExtent l="0" t="0" r="0" b="0"/>
          <wp:wrapSquare wrapText="bothSides" distT="0" distB="0" distL="114300" distR="114300"/>
          <wp:docPr id="1098857383" name="image1.png" descr="Lactalis España, la filial española del Grupo Lactalis"/>
          <wp:cNvGraphicFramePr/>
          <a:graphic xmlns:a="http://schemas.openxmlformats.org/drawingml/2006/main">
            <a:graphicData uri="http://schemas.openxmlformats.org/drawingml/2006/picture">
              <pic:pic xmlns:pic="http://schemas.openxmlformats.org/drawingml/2006/picture">
                <pic:nvPicPr>
                  <pic:cNvPr id="0" name="image1.png" descr="Lactalis España, la filial española del Grupo Lactalis"/>
                  <pic:cNvPicPr preferRelativeResize="0"/>
                </pic:nvPicPr>
                <pic:blipFill>
                  <a:blip r:embed="rId1"/>
                  <a:srcRect/>
                  <a:stretch>
                    <a:fillRect/>
                  </a:stretch>
                </pic:blipFill>
                <pic:spPr>
                  <a:xfrm>
                    <a:off x="0" y="0"/>
                    <a:ext cx="1512606" cy="39782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326"/>
    <w:rsid w:val="00190E98"/>
    <w:rsid w:val="00413F1A"/>
    <w:rsid w:val="00C633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1E02A02C"/>
  <w15:docId w15:val="{1B53E497-7AA2-43A8-A8EB-C8F9DDD6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sid w:val="008459BE"/>
    <w:rPr>
      <w:color w:val="0000FF"/>
      <w:u w:val="single"/>
    </w:rPr>
  </w:style>
  <w:style w:type="paragraph" w:styleId="Prrafodelista">
    <w:name w:val="List Paragraph"/>
    <w:basedOn w:val="Normal"/>
    <w:uiPriority w:val="34"/>
    <w:qFormat/>
    <w:rsid w:val="00D0638A"/>
    <w:pPr>
      <w:spacing w:after="0" w:line="240" w:lineRule="auto"/>
      <w:ind w:left="720"/>
    </w:pPr>
  </w:style>
  <w:style w:type="character" w:styleId="Refdecomentario">
    <w:name w:val="annotation reference"/>
    <w:basedOn w:val="Fuentedeprrafopredeter"/>
    <w:uiPriority w:val="99"/>
    <w:semiHidden/>
    <w:unhideWhenUsed/>
    <w:rsid w:val="007F0723"/>
    <w:rPr>
      <w:sz w:val="16"/>
      <w:szCs w:val="16"/>
    </w:rPr>
  </w:style>
  <w:style w:type="paragraph" w:styleId="Textocomentario">
    <w:name w:val="annotation text"/>
    <w:basedOn w:val="Normal"/>
    <w:link w:val="TextocomentarioCar"/>
    <w:uiPriority w:val="99"/>
    <w:semiHidden/>
    <w:unhideWhenUsed/>
    <w:rsid w:val="007F07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0723"/>
    <w:rPr>
      <w:sz w:val="20"/>
      <w:szCs w:val="20"/>
    </w:rPr>
  </w:style>
  <w:style w:type="paragraph" w:styleId="Asuntodelcomentario">
    <w:name w:val="annotation subject"/>
    <w:basedOn w:val="Textocomentario"/>
    <w:next w:val="Textocomentario"/>
    <w:link w:val="AsuntodelcomentarioCar"/>
    <w:uiPriority w:val="99"/>
    <w:semiHidden/>
    <w:unhideWhenUsed/>
    <w:rsid w:val="007F0723"/>
    <w:rPr>
      <w:b/>
      <w:bCs/>
    </w:rPr>
  </w:style>
  <w:style w:type="character" w:customStyle="1" w:styleId="AsuntodelcomentarioCar">
    <w:name w:val="Asunto del comentario Car"/>
    <w:basedOn w:val="TextocomentarioCar"/>
    <w:link w:val="Asuntodelcomentario"/>
    <w:uiPriority w:val="99"/>
    <w:semiHidden/>
    <w:rsid w:val="007F0723"/>
    <w:rPr>
      <w:b/>
      <w:bCs/>
      <w:sz w:val="20"/>
      <w:szCs w:val="20"/>
    </w:rPr>
  </w:style>
  <w:style w:type="paragraph" w:styleId="Textodeglobo">
    <w:name w:val="Balloon Text"/>
    <w:basedOn w:val="Normal"/>
    <w:link w:val="TextodegloboCar"/>
    <w:uiPriority w:val="99"/>
    <w:semiHidden/>
    <w:unhideWhenUsed/>
    <w:rsid w:val="007F07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723"/>
    <w:rPr>
      <w:rFonts w:ascii="Segoe UI" w:hAnsi="Segoe UI" w:cs="Segoe UI"/>
      <w:sz w:val="18"/>
      <w:szCs w:val="18"/>
    </w:rPr>
  </w:style>
  <w:style w:type="paragraph" w:styleId="Encabezado">
    <w:name w:val="header"/>
    <w:basedOn w:val="Normal"/>
    <w:link w:val="EncabezadoCar"/>
    <w:uiPriority w:val="99"/>
    <w:unhideWhenUsed/>
    <w:rsid w:val="00B655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535"/>
  </w:style>
  <w:style w:type="paragraph" w:styleId="Piedepgina">
    <w:name w:val="footer"/>
    <w:basedOn w:val="Normal"/>
    <w:link w:val="PiedepginaCar"/>
    <w:uiPriority w:val="99"/>
    <w:unhideWhenUsed/>
    <w:rsid w:val="00B655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535"/>
  </w:style>
  <w:style w:type="paragraph" w:styleId="Textonotaalfinal">
    <w:name w:val="endnote text"/>
    <w:basedOn w:val="Normal"/>
    <w:link w:val="TextonotaalfinalCar"/>
    <w:uiPriority w:val="99"/>
    <w:semiHidden/>
    <w:unhideWhenUsed/>
    <w:rsid w:val="006E104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047"/>
    <w:rPr>
      <w:sz w:val="20"/>
      <w:szCs w:val="20"/>
    </w:rPr>
  </w:style>
  <w:style w:type="character" w:styleId="Refdenotaalfinal">
    <w:name w:val="endnote reference"/>
    <w:basedOn w:val="Fuentedeprrafopredeter"/>
    <w:uiPriority w:val="99"/>
    <w:semiHidden/>
    <w:unhideWhenUsed/>
    <w:rsid w:val="006E1047"/>
    <w:rPr>
      <w:vertAlign w:val="superscript"/>
    </w:rPr>
  </w:style>
  <w:style w:type="paragraph" w:styleId="Textonotapie">
    <w:name w:val="footnote text"/>
    <w:basedOn w:val="Normal"/>
    <w:link w:val="TextonotapieCar"/>
    <w:uiPriority w:val="99"/>
    <w:semiHidden/>
    <w:unhideWhenUsed/>
    <w:rsid w:val="006E10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047"/>
    <w:rPr>
      <w:sz w:val="20"/>
      <w:szCs w:val="20"/>
    </w:rPr>
  </w:style>
  <w:style w:type="character" w:styleId="Refdenotaalpie">
    <w:name w:val="footnote reference"/>
    <w:basedOn w:val="Fuentedeprrafopredeter"/>
    <w:uiPriority w:val="99"/>
    <w:semiHidden/>
    <w:unhideWhenUsed/>
    <w:rsid w:val="006E1047"/>
    <w:rPr>
      <w:vertAlign w:val="superscript"/>
    </w:rPr>
  </w:style>
  <w:style w:type="character" w:styleId="Mencinsinresolver">
    <w:name w:val="Unresolved Mention"/>
    <w:basedOn w:val="Fuentedeprrafopredeter"/>
    <w:uiPriority w:val="99"/>
    <w:semiHidden/>
    <w:unhideWhenUsed/>
    <w:rsid w:val="00987C2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actalis.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uanmiguel.ramiro@es.lactalis.com" TargetMode="External"/><Relationship Id="rId4" Type="http://schemas.openxmlformats.org/officeDocument/2006/relationships/webSettings" Target="webSettings.xml"/><Relationship Id="rId9" Type="http://schemas.openxmlformats.org/officeDocument/2006/relationships/hyperlink" Target="mailto:jorge.oliva@es.lactali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GwFc4vOJK2B/GM//0hl6FGIQg==">CgMxLjA4AHIhMXF0a2lIRGdHcUIyV2Z1bTd4WndKNHVlVWpLWlR0Mm5V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1408</Words>
  <Characters>7746</Characters>
  <Application>Microsoft Office Word</Application>
  <DocSecurity>0</DocSecurity>
  <Lines>64</Lines>
  <Paragraphs>18</Paragraphs>
  <ScaleCrop>false</ScaleCrop>
  <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Lucia, Madrid</dc:creator>
  <cp:lastModifiedBy>Juan Carlos Fite</cp:lastModifiedBy>
  <cp:revision>2</cp:revision>
  <dcterms:created xsi:type="dcterms:W3CDTF">2025-06-24T21:38:00Z</dcterms:created>
  <dcterms:modified xsi:type="dcterms:W3CDTF">2025-07-01T10:15:00Z</dcterms:modified>
</cp:coreProperties>
</file>