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BD03C" w14:textId="77777777" w:rsidR="0041346F" w:rsidRDefault="0041346F">
      <w:pPr>
        <w:spacing w:after="0" w:line="240" w:lineRule="auto"/>
        <w:jc w:val="center"/>
        <w:rPr>
          <w:rFonts w:ascii="Century Gothic" w:eastAsia="Century Gothic" w:hAnsi="Century Gothic" w:cs="Century Gothic"/>
          <w:b/>
          <w:color w:val="C55911"/>
          <w:sz w:val="34"/>
          <w:szCs w:val="34"/>
        </w:rPr>
      </w:pPr>
    </w:p>
    <w:p w14:paraId="10ABD03D" w14:textId="77777777" w:rsidR="0041346F" w:rsidRDefault="00000000">
      <w:pPr>
        <w:spacing w:after="0" w:line="240" w:lineRule="auto"/>
        <w:jc w:val="center"/>
        <w:rPr>
          <w:rFonts w:ascii="Century Gothic" w:eastAsia="Century Gothic" w:hAnsi="Century Gothic" w:cs="Century Gothic"/>
          <w:b/>
          <w:color w:val="C55911"/>
          <w:sz w:val="34"/>
          <w:szCs w:val="34"/>
        </w:rPr>
      </w:pPr>
      <w:r>
        <w:rPr>
          <w:rFonts w:ascii="Century Gothic" w:eastAsia="Century Gothic" w:hAnsi="Century Gothic" w:cs="Century Gothic"/>
          <w:b/>
          <w:color w:val="C55911"/>
          <w:sz w:val="34"/>
          <w:szCs w:val="34"/>
        </w:rPr>
        <w:t>El desperdicio alimentario no se toma vacaciones: 4 estrategias para los supermercados este verano</w:t>
      </w:r>
    </w:p>
    <w:p w14:paraId="10ABD03E" w14:textId="77777777" w:rsidR="0041346F" w:rsidRDefault="0041346F">
      <w:pPr>
        <w:spacing w:after="0" w:line="240" w:lineRule="auto"/>
        <w:rPr>
          <w:rFonts w:ascii="Century Gothic" w:eastAsia="Century Gothic" w:hAnsi="Century Gothic" w:cs="Century Gothic"/>
          <w:b/>
          <w:i/>
          <w:color w:val="C55911"/>
          <w:sz w:val="34"/>
          <w:szCs w:val="34"/>
        </w:rPr>
      </w:pPr>
    </w:p>
    <w:p w14:paraId="10ABD03F" w14:textId="45605B45" w:rsidR="0041346F" w:rsidRDefault="00000000">
      <w:pPr>
        <w:numPr>
          <w:ilvl w:val="0"/>
          <w:numId w:val="2"/>
        </w:numPr>
        <w:pBdr>
          <w:top w:val="nil"/>
          <w:left w:val="nil"/>
          <w:bottom w:val="nil"/>
          <w:right w:val="nil"/>
          <w:between w:val="nil"/>
        </w:pBdr>
        <w:spacing w:after="0" w:line="276" w:lineRule="auto"/>
        <w:jc w:val="both"/>
        <w:rPr>
          <w:rFonts w:ascii="Century Gothic" w:eastAsia="Century Gothic" w:hAnsi="Century Gothic" w:cs="Century Gothic"/>
          <w:i/>
          <w:color w:val="000000"/>
          <w:sz w:val="20"/>
          <w:szCs w:val="20"/>
        </w:rPr>
      </w:pPr>
      <w:r>
        <w:rPr>
          <w:rFonts w:ascii="Century Gothic" w:eastAsia="Century Gothic" w:hAnsi="Century Gothic" w:cs="Century Gothic"/>
          <w:i/>
          <w:sz w:val="20"/>
          <w:szCs w:val="20"/>
        </w:rPr>
        <w:t>Dar visibilidad a productos visualmente imperfectos, ofrecer descuentos en alimentos cercanos a su fecha de caducidad y optimizar inventarios son algunas de las recomendaciones que Phenix ofrece a los supermercados este verano</w:t>
      </w:r>
    </w:p>
    <w:p w14:paraId="10ABD040" w14:textId="77777777" w:rsidR="0041346F" w:rsidRDefault="0041346F">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10ABD041" w14:textId="77777777" w:rsidR="0041346F" w:rsidRDefault="0041346F">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10ABD042" w14:textId="77777777" w:rsidR="0041346F" w:rsidRDefault="00000000">
      <w:pP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Madrid, 20 de agosto de 2024.-</w:t>
      </w:r>
      <w:r>
        <w:rPr>
          <w:rFonts w:ascii="Century Gothic" w:eastAsia="Century Gothic" w:hAnsi="Century Gothic" w:cs="Century Gothic"/>
          <w:sz w:val="20"/>
          <w:szCs w:val="20"/>
        </w:rPr>
        <w:t xml:space="preserve"> La temporada estival, marcada por las altas temperaturas y los cambios en los hábitos de consumo, representa un desafío significativo para los supermercados en su lucha contra el desperdicio alimentario. Durante estos meses, la gestión de inventarios se complica y, especialmente en productos perecederos, las mermas se incrementan.</w:t>
      </w:r>
    </w:p>
    <w:p w14:paraId="10ABD043" w14:textId="77777777" w:rsidR="0041346F" w:rsidRDefault="0041346F">
      <w:pPr>
        <w:spacing w:after="0" w:line="360" w:lineRule="auto"/>
        <w:jc w:val="both"/>
        <w:rPr>
          <w:rFonts w:ascii="Century Gothic" w:eastAsia="Century Gothic" w:hAnsi="Century Gothic" w:cs="Century Gothic"/>
          <w:sz w:val="20"/>
          <w:szCs w:val="20"/>
        </w:rPr>
      </w:pPr>
    </w:p>
    <w:p w14:paraId="10ABD044" w14:textId="77777777" w:rsidR="0041346F" w:rsidRDefault="00000000">
      <w:pP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Ante esta situación, desde </w:t>
      </w:r>
      <w:hyperlink r:id="rId8">
        <w:r>
          <w:rPr>
            <w:rFonts w:ascii="Century Gothic" w:eastAsia="Century Gothic" w:hAnsi="Century Gothic" w:cs="Century Gothic"/>
            <w:b/>
            <w:color w:val="467886"/>
            <w:sz w:val="20"/>
            <w:szCs w:val="20"/>
            <w:u w:val="single"/>
          </w:rPr>
          <w:t>Phenix</w:t>
        </w:r>
      </w:hyperlink>
      <w:r>
        <w:rPr>
          <w:rFonts w:ascii="Century Gothic" w:eastAsia="Century Gothic" w:hAnsi="Century Gothic" w:cs="Century Gothic"/>
          <w:sz w:val="20"/>
          <w:szCs w:val="20"/>
        </w:rPr>
        <w:t>, empresa especializada en la gestión de excedentes,</w:t>
      </w:r>
      <w:r>
        <w:t xml:space="preserve"> </w:t>
      </w:r>
      <w:r>
        <w:rPr>
          <w:rFonts w:ascii="Century Gothic" w:eastAsia="Century Gothic" w:hAnsi="Century Gothic" w:cs="Century Gothic"/>
          <w:sz w:val="20"/>
          <w:szCs w:val="20"/>
        </w:rPr>
        <w:t>destaca que, con las estrategias adecuadas, los supermercados no solo pueden mejorar la eficiencia de sus ventas, sino también fortalecer su compromiso con la sostenibilidad, reduciendo así el desperdicio de alimentos. En este contexto, la compañía ofrece una serie de recomendaciones para ayudar a los comercios a afrontar este reto en el mes de agosto:</w:t>
      </w:r>
    </w:p>
    <w:p w14:paraId="10ABD045" w14:textId="77777777" w:rsidR="0041346F" w:rsidRDefault="0041346F">
      <w:pPr>
        <w:spacing w:after="0" w:line="360" w:lineRule="auto"/>
        <w:jc w:val="both"/>
        <w:rPr>
          <w:rFonts w:ascii="Century Gothic" w:eastAsia="Century Gothic" w:hAnsi="Century Gothic" w:cs="Century Gothic"/>
          <w:sz w:val="20"/>
          <w:szCs w:val="20"/>
        </w:rPr>
      </w:pPr>
    </w:p>
    <w:p w14:paraId="10ABD046" w14:textId="77777777" w:rsidR="0041346F"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b/>
          <w:color w:val="000000"/>
          <w:sz w:val="20"/>
          <w:szCs w:val="20"/>
        </w:rPr>
      </w:pPr>
      <w:sdt>
        <w:sdtPr>
          <w:tag w:val="goog_rdk_0"/>
          <w:id w:val="-2127938058"/>
        </w:sdtPr>
        <w:sdtContent/>
      </w:sdt>
      <w:sdt>
        <w:sdtPr>
          <w:tag w:val="goog_rdk_1"/>
          <w:id w:val="-1467386470"/>
        </w:sdtPr>
        <w:sdtContent/>
      </w:sdt>
      <w:sdt>
        <w:sdtPr>
          <w:tag w:val="goog_rdk_2"/>
          <w:id w:val="1386875065"/>
        </w:sdtPr>
        <w:sdtContent/>
      </w:sdt>
      <w:r>
        <w:rPr>
          <w:rFonts w:ascii="Century Gothic" w:eastAsia="Century Gothic" w:hAnsi="Century Gothic" w:cs="Century Gothic"/>
          <w:b/>
          <w:color w:val="000000"/>
          <w:sz w:val="20"/>
          <w:szCs w:val="20"/>
        </w:rPr>
        <w:t xml:space="preserve">Gestionar productos frescos: </w:t>
      </w:r>
      <w:r>
        <w:rPr>
          <w:rFonts w:ascii="Century Gothic" w:eastAsia="Century Gothic" w:hAnsi="Century Gothic" w:cs="Century Gothic"/>
          <w:color w:val="000000"/>
          <w:sz w:val="20"/>
          <w:szCs w:val="20"/>
        </w:rPr>
        <w:t>Este tipo de productos son los que más sufren</w:t>
      </w:r>
      <w:r>
        <w:rPr>
          <w:rFonts w:ascii="Century Gothic" w:eastAsia="Century Gothic" w:hAnsi="Century Gothic" w:cs="Century Gothic"/>
          <w:sz w:val="20"/>
          <w:szCs w:val="20"/>
        </w:rPr>
        <w:t xml:space="preserve"> en verano y también los que más se desperdician. Aunque principalmente pensamos en frutas y verduras, también hay otros alimentos sensibles como carnes, pescados o quesos. Para gestionar adecuadamente el stock de los productos refrigerados, Phenix recomienda analizar las ventas de campañas anteriores, los hábitos de consumo y la rotación de cada referencia. Además, la compañía propone formatos de compra flexibles como, por ejemplo, la venta a granel o el envasado al vacío, que ayudan al consumidor a llevar solo la cantidad que necesita y agilizan la rotación del producto.</w:t>
      </w:r>
    </w:p>
    <w:sdt>
      <w:sdtPr>
        <w:tag w:val="goog_rdk_8"/>
        <w:id w:val="-1579364627"/>
      </w:sdtPr>
      <w:sdtContent>
        <w:p w14:paraId="10ABD047" w14:textId="0F2500E2" w:rsidR="0041346F" w:rsidRPr="009D1281" w:rsidRDefault="00000000">
          <w:pPr>
            <w:pBdr>
              <w:top w:val="nil"/>
              <w:left w:val="nil"/>
              <w:bottom w:val="nil"/>
              <w:right w:val="nil"/>
              <w:between w:val="nil"/>
            </w:pBdr>
            <w:spacing w:after="0" w:line="360" w:lineRule="auto"/>
            <w:ind w:left="720"/>
            <w:jc w:val="both"/>
            <w:rPr>
              <w:rFonts w:ascii="Century Gothic" w:eastAsia="Century Gothic" w:hAnsi="Century Gothic" w:cs="Century Gothic"/>
              <w:b/>
              <w:sz w:val="20"/>
              <w:szCs w:val="20"/>
            </w:rPr>
          </w:pPr>
          <w:sdt>
            <w:sdtPr>
              <w:tag w:val="goog_rdk_4"/>
              <w:id w:val="-2113667306"/>
            </w:sdtPr>
            <w:sdtContent>
              <w:sdt>
                <w:sdtPr>
                  <w:tag w:val="goog_rdk_5"/>
                  <w:id w:val="1945598161"/>
                </w:sdtPr>
                <w:sdtContent/>
              </w:sdt>
              <w:sdt>
                <w:sdtPr>
                  <w:tag w:val="goog_rdk_6"/>
                  <w:id w:val="-2033606540"/>
                  <w:showingPlcHdr/>
                </w:sdtPr>
                <w:sdtContent>
                  <w:r w:rsidR="009D1281">
                    <w:t xml:space="preserve">     </w:t>
                  </w:r>
                </w:sdtContent>
              </w:sdt>
              <w:sdt>
                <w:sdtPr>
                  <w:tag w:val="goog_rdk_7"/>
                  <w:id w:val="-1239544869"/>
                </w:sdtPr>
                <w:sdtContent/>
              </w:sdt>
            </w:sdtContent>
          </w:sdt>
        </w:p>
      </w:sdtContent>
    </w:sdt>
    <w:sdt>
      <w:sdtPr>
        <w:tag w:val="goog_rdk_10"/>
        <w:id w:val="-589973738"/>
      </w:sdtPr>
      <w:sdtContent>
        <w:p w14:paraId="10ABD048" w14:textId="77777777" w:rsidR="0041346F" w:rsidRPr="009D1281" w:rsidRDefault="00000000">
          <w:pPr>
            <w:pBdr>
              <w:top w:val="nil"/>
              <w:left w:val="nil"/>
              <w:bottom w:val="nil"/>
              <w:right w:val="nil"/>
              <w:between w:val="nil"/>
            </w:pBdr>
            <w:spacing w:after="0" w:line="360" w:lineRule="auto"/>
            <w:ind w:left="720"/>
            <w:jc w:val="both"/>
            <w:rPr>
              <w:rFonts w:ascii="Century Gothic" w:eastAsia="Century Gothic" w:hAnsi="Century Gothic" w:cs="Century Gothic"/>
              <w:b/>
              <w:sz w:val="20"/>
              <w:szCs w:val="20"/>
            </w:rPr>
          </w:pPr>
          <w:sdt>
            <w:sdtPr>
              <w:tag w:val="goog_rdk_9"/>
              <w:id w:val="-1029246393"/>
            </w:sdtPr>
            <w:sdtContent/>
          </w:sdt>
        </w:p>
      </w:sdtContent>
    </w:sdt>
    <w:p w14:paraId="10ABD049" w14:textId="77777777" w:rsidR="0041346F"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Promociones en productos cercanos a su fecha de vencimiento: </w:t>
      </w:r>
      <w:r>
        <w:rPr>
          <w:rFonts w:ascii="Century Gothic" w:eastAsia="Century Gothic" w:hAnsi="Century Gothic" w:cs="Century Gothic"/>
          <w:color w:val="000000"/>
          <w:sz w:val="20"/>
          <w:szCs w:val="20"/>
        </w:rPr>
        <w:t xml:space="preserve">Ofrecer descuentos en alimentos cercanos a su fecha de caducidad es una estrategia eficaz que permite atender la creciente demanda de productos mientras se fomenta un consumo más responsable. Phenix asegura que las promociones no </w:t>
      </w:r>
      <w:r>
        <w:rPr>
          <w:rFonts w:ascii="Century Gothic" w:eastAsia="Century Gothic" w:hAnsi="Century Gothic" w:cs="Century Gothic"/>
          <w:color w:val="000000"/>
          <w:sz w:val="20"/>
          <w:szCs w:val="20"/>
        </w:rPr>
        <w:lastRenderedPageBreak/>
        <w:t>solo atraen a los clientes, sino que también facilitan la salida de productos que, de otro modo, serían desperdiciados.</w:t>
      </w:r>
    </w:p>
    <w:p w14:paraId="10ABD04A" w14:textId="77777777" w:rsidR="0041346F" w:rsidRDefault="0041346F">
      <w:pPr>
        <w:spacing w:after="0" w:line="360" w:lineRule="auto"/>
        <w:ind w:left="360"/>
        <w:jc w:val="both"/>
        <w:rPr>
          <w:rFonts w:ascii="Century Gothic" w:eastAsia="Century Gothic" w:hAnsi="Century Gothic" w:cs="Century Gothic"/>
          <w:b/>
          <w:sz w:val="20"/>
          <w:szCs w:val="20"/>
        </w:rPr>
      </w:pPr>
    </w:p>
    <w:p w14:paraId="10ABD04B" w14:textId="77777777" w:rsidR="0041346F"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Revisión y optimización de inventarios:</w:t>
      </w:r>
      <w:r>
        <w:rPr>
          <w:b/>
          <w:color w:val="000000"/>
        </w:rPr>
        <w:t xml:space="preserve"> </w:t>
      </w:r>
      <w:r>
        <w:rPr>
          <w:rFonts w:ascii="Century Gothic" w:eastAsia="Century Gothic" w:hAnsi="Century Gothic" w:cs="Century Gothic"/>
          <w:color w:val="000000"/>
          <w:sz w:val="20"/>
          <w:szCs w:val="20"/>
        </w:rPr>
        <w:t>Phenix recomienda realizar revisiones exhaustivas de inventarios para identificar productos cercanos a su fecha de vencimiento. Además, ajustando los pedidos de acuerdo con las tendencias de venta y la estacionalidad, se evita el sobreabastecimiento.</w:t>
      </w:r>
    </w:p>
    <w:p w14:paraId="10ABD04C" w14:textId="77777777" w:rsidR="0041346F" w:rsidRDefault="0041346F">
      <w:pPr>
        <w:pBdr>
          <w:top w:val="nil"/>
          <w:left w:val="nil"/>
          <w:bottom w:val="nil"/>
          <w:right w:val="nil"/>
          <w:between w:val="nil"/>
        </w:pBdr>
        <w:spacing w:after="0" w:line="360" w:lineRule="auto"/>
        <w:ind w:left="720"/>
        <w:jc w:val="both"/>
        <w:rPr>
          <w:rFonts w:ascii="Century Gothic" w:eastAsia="Century Gothic" w:hAnsi="Century Gothic" w:cs="Century Gothic"/>
          <w:b/>
          <w:color w:val="000000"/>
          <w:sz w:val="20"/>
          <w:szCs w:val="20"/>
        </w:rPr>
      </w:pPr>
    </w:p>
    <w:p w14:paraId="10ABD04D" w14:textId="77777777" w:rsidR="0041346F" w:rsidRDefault="00000000">
      <w:pPr>
        <w:numPr>
          <w:ilvl w:val="0"/>
          <w:numId w:val="1"/>
        </w:numPr>
        <w:pBdr>
          <w:top w:val="nil"/>
          <w:left w:val="nil"/>
          <w:bottom w:val="nil"/>
          <w:right w:val="nil"/>
          <w:between w:val="nil"/>
        </w:pBdr>
        <w:spacing w:after="0" w:line="360"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Realizar donaciones: </w:t>
      </w:r>
      <w:r>
        <w:rPr>
          <w:rFonts w:ascii="Century Gothic" w:eastAsia="Century Gothic" w:hAnsi="Century Gothic" w:cs="Century Gothic"/>
          <w:color w:val="000000"/>
          <w:sz w:val="20"/>
          <w:szCs w:val="20"/>
        </w:rPr>
        <w:t xml:space="preserve">Desde la compañía destacan la importancia de colaborar con organizaciones locales que permitan donar productos cercanos a su fecha de vencimiento, pero que aún son aptos para el consumo. </w:t>
      </w:r>
      <w:r>
        <w:rPr>
          <w:rFonts w:ascii="Century Gothic" w:eastAsia="Century Gothic" w:hAnsi="Century Gothic" w:cs="Century Gothic"/>
          <w:sz w:val="20"/>
          <w:szCs w:val="20"/>
        </w:rPr>
        <w:t xml:space="preserve">En el caso de los productos que no pueden donarse para consumo humano, existe la opción de las donaciones para consumo animal.  Las donaciones se pueden gestionar de forma interna o externalizarlas a empresas </w:t>
      </w:r>
      <w:proofErr w:type="gramStart"/>
      <w:r>
        <w:rPr>
          <w:rFonts w:ascii="Century Gothic" w:eastAsia="Century Gothic" w:hAnsi="Century Gothic" w:cs="Century Gothic"/>
          <w:sz w:val="20"/>
          <w:szCs w:val="20"/>
        </w:rPr>
        <w:t>especializadas  para</w:t>
      </w:r>
      <w:proofErr w:type="gramEnd"/>
      <w:r>
        <w:rPr>
          <w:rFonts w:ascii="Century Gothic" w:eastAsia="Century Gothic" w:hAnsi="Century Gothic" w:cs="Century Gothic"/>
          <w:sz w:val="20"/>
          <w:szCs w:val="20"/>
        </w:rPr>
        <w:t xml:space="preserve"> ganar tiempo y asegurar que se hagan de forma </w:t>
      </w:r>
      <w:proofErr w:type="gramStart"/>
      <w:r>
        <w:rPr>
          <w:rFonts w:ascii="Century Gothic" w:eastAsia="Century Gothic" w:hAnsi="Century Gothic" w:cs="Century Gothic"/>
          <w:sz w:val="20"/>
          <w:szCs w:val="20"/>
        </w:rPr>
        <w:t>segura,  mediante</w:t>
      </w:r>
      <w:proofErr w:type="gramEnd"/>
      <w:r>
        <w:rPr>
          <w:rFonts w:ascii="Century Gothic" w:eastAsia="Century Gothic" w:hAnsi="Century Gothic" w:cs="Century Gothic"/>
          <w:sz w:val="20"/>
          <w:szCs w:val="20"/>
        </w:rPr>
        <w:t xml:space="preserve"> la digitalización y profesionalización de los procesos de donación en tienda, desde la separación de los alimentos aptos para la donación hasta la entrega de </w:t>
      </w:r>
      <w:proofErr w:type="gramStart"/>
      <w:r>
        <w:rPr>
          <w:rFonts w:ascii="Century Gothic" w:eastAsia="Century Gothic" w:hAnsi="Century Gothic" w:cs="Century Gothic"/>
          <w:sz w:val="20"/>
          <w:szCs w:val="20"/>
        </w:rPr>
        <w:t>los mismos</w:t>
      </w:r>
      <w:proofErr w:type="gramEnd"/>
      <w:r>
        <w:rPr>
          <w:rFonts w:ascii="Century Gothic" w:eastAsia="Century Gothic" w:hAnsi="Century Gothic" w:cs="Century Gothic"/>
          <w:sz w:val="20"/>
          <w:szCs w:val="20"/>
        </w:rPr>
        <w:t xml:space="preserve"> a destino. Gracias a los datos recogidos sobre productos donados, podemos mejorar la gestión de excedentes ganando en eficiencia operativa en tienda. </w:t>
      </w:r>
      <w:r>
        <w:rPr>
          <w:rFonts w:ascii="Century Gothic" w:eastAsia="Century Gothic" w:hAnsi="Century Gothic" w:cs="Century Gothic"/>
          <w:color w:val="000000"/>
          <w:sz w:val="20"/>
          <w:szCs w:val="20"/>
        </w:rPr>
        <w:t>Por ejemp</w:t>
      </w:r>
      <w:r>
        <w:rPr>
          <w:rFonts w:ascii="Century Gothic" w:eastAsia="Century Gothic" w:hAnsi="Century Gothic" w:cs="Century Gothic"/>
          <w:sz w:val="20"/>
          <w:szCs w:val="20"/>
        </w:rPr>
        <w:t xml:space="preserve">lo, </w:t>
      </w:r>
      <w:r>
        <w:rPr>
          <w:rFonts w:ascii="Century Gothic" w:eastAsia="Century Gothic" w:hAnsi="Century Gothic" w:cs="Century Gothic"/>
          <w:color w:val="000000"/>
          <w:sz w:val="20"/>
          <w:szCs w:val="20"/>
        </w:rPr>
        <w:t xml:space="preserve">pueden emplearse para ajustar las estrategias de compra y </w:t>
      </w:r>
      <w:r>
        <w:rPr>
          <w:rFonts w:ascii="Century Gothic" w:eastAsia="Century Gothic" w:hAnsi="Century Gothic" w:cs="Century Gothic"/>
          <w:sz w:val="20"/>
          <w:szCs w:val="20"/>
        </w:rPr>
        <w:t>venta</w:t>
      </w:r>
      <w:r>
        <w:rPr>
          <w:rFonts w:ascii="Century Gothic" w:eastAsia="Century Gothic" w:hAnsi="Century Gothic" w:cs="Century Gothic"/>
          <w:color w:val="000000"/>
          <w:sz w:val="20"/>
          <w:szCs w:val="20"/>
        </w:rPr>
        <w:t>.</w:t>
      </w:r>
    </w:p>
    <w:p w14:paraId="10ABD04E" w14:textId="77777777" w:rsidR="0041346F" w:rsidRDefault="0041346F">
      <w:pPr>
        <w:pBdr>
          <w:top w:val="nil"/>
          <w:left w:val="nil"/>
          <w:bottom w:val="nil"/>
          <w:right w:val="nil"/>
          <w:between w:val="nil"/>
        </w:pBdr>
        <w:spacing w:after="0" w:line="360" w:lineRule="auto"/>
        <w:ind w:left="720"/>
        <w:jc w:val="both"/>
        <w:rPr>
          <w:rFonts w:ascii="Century Gothic" w:eastAsia="Century Gothic" w:hAnsi="Century Gothic" w:cs="Century Gothic"/>
          <w:sz w:val="20"/>
          <w:szCs w:val="20"/>
        </w:rPr>
      </w:pPr>
    </w:p>
    <w:p w14:paraId="10ABD04F" w14:textId="77777777" w:rsidR="0041346F" w:rsidRDefault="00000000">
      <w:pPr>
        <w:pBdr>
          <w:top w:val="nil"/>
          <w:left w:val="nil"/>
          <w:bottom w:val="nil"/>
          <w:right w:val="nil"/>
          <w:between w:val="nil"/>
        </w:pBdr>
        <w:spacing w:after="0" w:line="360" w:lineRule="auto"/>
        <w:jc w:val="both"/>
        <w:rPr>
          <w:rFonts w:ascii="Century Gothic" w:eastAsia="Century Gothic" w:hAnsi="Century Gothic" w:cs="Century Gothic"/>
          <w:color w:val="000000"/>
          <w:sz w:val="20"/>
          <w:szCs w:val="20"/>
        </w:rPr>
      </w:pPr>
      <w:sdt>
        <w:sdtPr>
          <w:tag w:val="goog_rdk_11"/>
          <w:id w:val="906987256"/>
        </w:sdtPr>
        <w:sdtContent/>
      </w:sdt>
      <w:sdt>
        <w:sdtPr>
          <w:tag w:val="goog_rdk_12"/>
          <w:id w:val="1890882261"/>
        </w:sdtPr>
        <w:sdtContent/>
      </w:sdt>
      <w:r>
        <w:rPr>
          <w:rFonts w:ascii="Century Gothic" w:eastAsia="Century Gothic" w:hAnsi="Century Gothic" w:cs="Century Gothic"/>
          <w:color w:val="000000"/>
          <w:sz w:val="20"/>
          <w:szCs w:val="20"/>
        </w:rPr>
        <w:t xml:space="preserve">Además, las donaciones en España cuentan con una serie de ayudas fiscales que incentivan las donaciones de alimentos, reconociendo el papel crucial que juegan las entidades y empresas en la lucha contra el desperdicio alimentario. </w:t>
      </w:r>
    </w:p>
    <w:p w14:paraId="10ABD050" w14:textId="77777777" w:rsidR="0041346F" w:rsidRDefault="0041346F">
      <w:pPr>
        <w:pBdr>
          <w:top w:val="nil"/>
          <w:left w:val="nil"/>
          <w:bottom w:val="nil"/>
          <w:right w:val="nil"/>
          <w:between w:val="nil"/>
        </w:pBdr>
        <w:spacing w:after="0" w:line="360" w:lineRule="auto"/>
        <w:jc w:val="both"/>
        <w:rPr>
          <w:rFonts w:ascii="Century Gothic" w:eastAsia="Century Gothic" w:hAnsi="Century Gothic" w:cs="Century Gothic"/>
          <w:sz w:val="20"/>
          <w:szCs w:val="20"/>
        </w:rPr>
      </w:pPr>
    </w:p>
    <w:p w14:paraId="10ABD051" w14:textId="77777777" w:rsidR="0041346F" w:rsidRDefault="00000000">
      <w:pPr>
        <w:pBdr>
          <w:top w:val="nil"/>
          <w:left w:val="nil"/>
          <w:bottom w:val="nil"/>
          <w:right w:val="nil"/>
          <w:between w:val="nil"/>
        </w:pBd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A todo </w:t>
      </w:r>
      <w:proofErr w:type="gramStart"/>
      <w:r>
        <w:rPr>
          <w:rFonts w:ascii="Century Gothic" w:eastAsia="Century Gothic" w:hAnsi="Century Gothic" w:cs="Century Gothic"/>
          <w:color w:val="000000"/>
          <w:sz w:val="20"/>
          <w:szCs w:val="20"/>
        </w:rPr>
        <w:t>esto</w:t>
      </w:r>
      <w:proofErr w:type="gramEnd"/>
      <w:r>
        <w:rPr>
          <w:rFonts w:ascii="Century Gothic" w:eastAsia="Century Gothic" w:hAnsi="Century Gothic" w:cs="Century Gothic"/>
          <w:color w:val="000000"/>
          <w:sz w:val="20"/>
          <w:szCs w:val="20"/>
        </w:rPr>
        <w:t xml:space="preserve"> hay que sumar la entrada en vigo</w:t>
      </w:r>
      <w:r>
        <w:rPr>
          <w:rFonts w:ascii="Century Gothic" w:eastAsia="Century Gothic" w:hAnsi="Century Gothic" w:cs="Century Gothic"/>
          <w:sz w:val="20"/>
          <w:szCs w:val="20"/>
        </w:rPr>
        <w:t xml:space="preserve">r el pasado 1 de abril de la </w:t>
      </w:r>
      <w:r>
        <w:rPr>
          <w:rFonts w:ascii="Century Gothic" w:eastAsia="Century Gothic" w:hAnsi="Century Gothic" w:cs="Century Gothic"/>
          <w:color w:val="000000"/>
          <w:sz w:val="20"/>
          <w:szCs w:val="20"/>
        </w:rPr>
        <w:t xml:space="preserve">Ley de Prevención de las Pérdidas y el Desperdicio Alimentario, </w:t>
      </w:r>
      <w:r>
        <w:rPr>
          <w:rFonts w:ascii="Century Gothic" w:eastAsia="Century Gothic" w:hAnsi="Century Gothic" w:cs="Century Gothic"/>
          <w:sz w:val="20"/>
          <w:szCs w:val="20"/>
        </w:rPr>
        <w:t>que</w:t>
      </w:r>
      <w:r>
        <w:rPr>
          <w:rFonts w:ascii="Century Gothic" w:eastAsia="Century Gothic" w:hAnsi="Century Gothic" w:cs="Century Gothic"/>
          <w:color w:val="000000"/>
          <w:sz w:val="20"/>
          <w:szCs w:val="20"/>
        </w:rPr>
        <w:t xml:space="preserve"> marca un punto de inflexión para todos los agentes del sector agroalimentario en España. Establece objetivos concretos para toda la cadena: desde el sector primario y la industria, hasta la distribución, el comercio minorista, la hostelería y la restauració</w:t>
      </w:r>
      <w:r>
        <w:rPr>
          <w:rFonts w:ascii="Century Gothic" w:eastAsia="Century Gothic" w:hAnsi="Century Gothic" w:cs="Century Gothic"/>
          <w:sz w:val="20"/>
          <w:szCs w:val="20"/>
        </w:rPr>
        <w:t>n. En concreto,</w:t>
      </w:r>
      <w:r>
        <w:rPr>
          <w:rFonts w:ascii="Century Gothic" w:eastAsia="Century Gothic" w:hAnsi="Century Gothic" w:cs="Century Gothic"/>
          <w:color w:val="000000"/>
          <w:sz w:val="20"/>
          <w:szCs w:val="20"/>
        </w:rPr>
        <w:t xml:space="preserve"> la obligación de contar con un plan de prevención que detalle cómo se implementará dicha jerarquía, así como de firmar convenios con entidades sociales para garantizar que los alimentos aún aptos para el consumo lleguen, de forma segura y organizada, a quienes más los necesitan. </w:t>
      </w:r>
    </w:p>
    <w:p w14:paraId="10ABD052" w14:textId="77777777" w:rsidR="0041346F" w:rsidRDefault="0041346F">
      <w:pPr>
        <w:pBdr>
          <w:top w:val="nil"/>
          <w:left w:val="nil"/>
          <w:bottom w:val="nil"/>
          <w:right w:val="nil"/>
          <w:between w:val="nil"/>
        </w:pBdr>
        <w:spacing w:after="0" w:line="360" w:lineRule="auto"/>
        <w:jc w:val="both"/>
        <w:rPr>
          <w:rFonts w:ascii="Century Gothic" w:eastAsia="Century Gothic" w:hAnsi="Century Gothic" w:cs="Century Gothic"/>
          <w:sz w:val="20"/>
          <w:szCs w:val="20"/>
        </w:rPr>
      </w:pPr>
    </w:p>
    <w:p w14:paraId="10ABD053" w14:textId="77777777" w:rsidR="0041346F" w:rsidRDefault="00000000">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i/>
          <w:sz w:val="20"/>
          <w:szCs w:val="20"/>
        </w:rPr>
        <w:t xml:space="preserve">“El verano es el momento perfecto para que los supermercados adapten enfoques más responsables y eficientes. Implementando las estrategias correctas, es posible reducir el </w:t>
      </w:r>
      <w:r>
        <w:rPr>
          <w:rFonts w:ascii="Century Gothic" w:eastAsia="Century Gothic" w:hAnsi="Century Gothic" w:cs="Century Gothic"/>
          <w:i/>
          <w:sz w:val="20"/>
          <w:szCs w:val="20"/>
        </w:rPr>
        <w:lastRenderedPageBreak/>
        <w:t>desperdicio alimentario, optimizar su operativa y lograr resultados más sostenibles”</w:t>
      </w:r>
      <w:r>
        <w:rPr>
          <w:rFonts w:ascii="Century Gothic" w:eastAsia="Century Gothic" w:hAnsi="Century Gothic" w:cs="Century Gothic"/>
          <w:sz w:val="20"/>
          <w:szCs w:val="20"/>
        </w:rPr>
        <w:t xml:space="preserve"> señala </w:t>
      </w:r>
      <w:proofErr w:type="spellStart"/>
      <w:r>
        <w:rPr>
          <w:rFonts w:ascii="Century Gothic" w:eastAsia="Century Gothic" w:hAnsi="Century Gothic" w:cs="Century Gothic"/>
          <w:b/>
          <w:sz w:val="22"/>
          <w:szCs w:val="22"/>
        </w:rPr>
        <w:t>Pauline</w:t>
      </w:r>
      <w:proofErr w:type="spell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Bertin</w:t>
      </w:r>
      <w:proofErr w:type="spell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Chief</w:t>
      </w:r>
      <w:proofErr w:type="spellEnd"/>
      <w:r>
        <w:rPr>
          <w:rFonts w:ascii="Century Gothic" w:eastAsia="Century Gothic" w:hAnsi="Century Gothic" w:cs="Century Gothic"/>
          <w:b/>
          <w:sz w:val="22"/>
          <w:szCs w:val="22"/>
        </w:rPr>
        <w:t xml:space="preserve"> Sales </w:t>
      </w:r>
      <w:proofErr w:type="spellStart"/>
      <w:r>
        <w:rPr>
          <w:rFonts w:ascii="Century Gothic" w:eastAsia="Century Gothic" w:hAnsi="Century Gothic" w:cs="Century Gothic"/>
          <w:b/>
          <w:sz w:val="22"/>
          <w:szCs w:val="22"/>
        </w:rPr>
        <w:t>Officer</w:t>
      </w:r>
      <w:proofErr w:type="spellEnd"/>
      <w:r>
        <w:rPr>
          <w:rFonts w:ascii="Century Gothic" w:eastAsia="Century Gothic" w:hAnsi="Century Gothic" w:cs="Century Gothic"/>
          <w:b/>
          <w:sz w:val="22"/>
          <w:szCs w:val="22"/>
        </w:rPr>
        <w:t xml:space="preserve"> de Phenix a nivel global.</w:t>
      </w:r>
    </w:p>
    <w:p w14:paraId="10ABD054" w14:textId="77777777" w:rsidR="0041346F" w:rsidRDefault="00000000">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Sobre Phenix</w:t>
      </w:r>
    </w:p>
    <w:p w14:paraId="10ABD055" w14:textId="77777777" w:rsidR="0041346F" w:rsidRDefault="00000000">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Phenix es una empresa certificada B-</w:t>
      </w:r>
      <w:proofErr w:type="spellStart"/>
      <w:r>
        <w:rPr>
          <w:rFonts w:ascii="Century Gothic" w:eastAsia="Century Gothic" w:hAnsi="Century Gothic" w:cs="Century Gothic"/>
          <w:sz w:val="16"/>
          <w:szCs w:val="16"/>
        </w:rPr>
        <w:t>Corp</w:t>
      </w:r>
      <w:proofErr w:type="spellEnd"/>
      <w:r>
        <w:rPr>
          <w:rFonts w:ascii="Century Gothic" w:eastAsia="Century Gothic" w:hAnsi="Century Gothic" w:cs="Century Gothic"/>
          <w:sz w:val="16"/>
          <w:szCs w:val="16"/>
        </w:rPr>
        <w:t xml:space="preserve"> especializada en maximizar el valor del excedente alimentario. A través de asesoramiento experto, tecnología propia y alianzas con comercios y entidades sociales, ayuda a empresas y consumidores a reducir el desperdicio y generar impacto social y ambiental positivo. En España, trabaja con más de 2.000 puntos de venta, incluyendo cadenas como BM Supermercados, </w:t>
      </w:r>
      <w:proofErr w:type="spellStart"/>
      <w:r>
        <w:rPr>
          <w:rFonts w:ascii="Century Gothic" w:eastAsia="Century Gothic" w:hAnsi="Century Gothic" w:cs="Century Gothic"/>
          <w:sz w:val="16"/>
          <w:szCs w:val="16"/>
        </w:rPr>
        <w:t>Areas</w:t>
      </w:r>
      <w:proofErr w:type="spellEnd"/>
      <w:r>
        <w:rPr>
          <w:rFonts w:ascii="Century Gothic" w:eastAsia="Century Gothic" w:hAnsi="Century Gothic" w:cs="Century Gothic"/>
          <w:sz w:val="16"/>
          <w:szCs w:val="16"/>
        </w:rPr>
        <w:t xml:space="preserve"> Iberia o La Menorquina.</w:t>
      </w:r>
    </w:p>
    <w:p w14:paraId="10ABD056" w14:textId="77777777" w:rsidR="0041346F" w:rsidRDefault="00000000">
      <w:pPr>
        <w:spacing w:after="0" w:line="240" w:lineRule="auto"/>
        <w:jc w:val="both"/>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Para más información: </w:t>
      </w:r>
      <w:hyperlink r:id="rId9">
        <w:r>
          <w:rPr>
            <w:rFonts w:ascii="Century Gothic" w:eastAsia="Century Gothic" w:hAnsi="Century Gothic" w:cs="Century Gothic"/>
            <w:i/>
            <w:color w:val="467886"/>
            <w:sz w:val="16"/>
            <w:szCs w:val="16"/>
            <w:u w:val="single"/>
          </w:rPr>
          <w:t>https://www.wearephenix.com/es/</w:t>
        </w:r>
      </w:hyperlink>
    </w:p>
    <w:p w14:paraId="10ABD057" w14:textId="77777777" w:rsidR="0041346F" w:rsidRDefault="0041346F">
      <w:pPr>
        <w:spacing w:after="0" w:line="240" w:lineRule="auto"/>
        <w:jc w:val="both"/>
        <w:rPr>
          <w:rFonts w:ascii="Century Gothic" w:eastAsia="Century Gothic" w:hAnsi="Century Gothic" w:cs="Century Gothic"/>
          <w:i/>
          <w:sz w:val="16"/>
          <w:szCs w:val="16"/>
        </w:rPr>
      </w:pPr>
    </w:p>
    <w:p w14:paraId="10ABD058" w14:textId="77777777" w:rsidR="0041346F" w:rsidRDefault="00000000">
      <w:pPr>
        <w:jc w:val="right"/>
        <w:rPr>
          <w:rFonts w:ascii="Open Sans" w:eastAsia="Open Sans" w:hAnsi="Open Sans" w:cs="Open Sans"/>
          <w:b/>
          <w:sz w:val="16"/>
          <w:szCs w:val="16"/>
        </w:rPr>
      </w:pPr>
      <w:r>
        <w:rPr>
          <w:rFonts w:ascii="Open Sans" w:eastAsia="Open Sans" w:hAnsi="Open Sans" w:cs="Open Sans"/>
          <w:b/>
          <w:sz w:val="16"/>
          <w:szCs w:val="16"/>
        </w:rPr>
        <w:t>Contacto para la prensa:</w:t>
      </w:r>
    </w:p>
    <w:p w14:paraId="10ABD059" w14:textId="77777777" w:rsidR="0041346F" w:rsidRDefault="00000000">
      <w:pPr>
        <w:spacing w:after="0"/>
        <w:jc w:val="right"/>
        <w:rPr>
          <w:rFonts w:ascii="Open Sans" w:eastAsia="Open Sans" w:hAnsi="Open Sans" w:cs="Open Sans"/>
          <w:sz w:val="16"/>
          <w:szCs w:val="16"/>
        </w:rPr>
      </w:pPr>
      <w:r>
        <w:rPr>
          <w:rFonts w:ascii="Open Sans" w:eastAsia="Open Sans" w:hAnsi="Open Sans" w:cs="Open Sans"/>
          <w:b/>
          <w:sz w:val="16"/>
          <w:szCs w:val="16"/>
        </w:rPr>
        <w:t>Marina Gascón Martínez de Quel</w:t>
      </w:r>
    </w:p>
    <w:p w14:paraId="10ABD05A" w14:textId="77777777" w:rsidR="0041346F" w:rsidRDefault="00000000">
      <w:pPr>
        <w:spacing w:after="0"/>
        <w:jc w:val="right"/>
        <w:rPr>
          <w:rFonts w:ascii="Open Sans" w:eastAsia="Open Sans" w:hAnsi="Open Sans" w:cs="Open Sans"/>
          <w:sz w:val="16"/>
          <w:szCs w:val="16"/>
        </w:rPr>
      </w:pPr>
      <w:hyperlink r:id="rId10">
        <w:r>
          <w:rPr>
            <w:rFonts w:ascii="Open Sans" w:eastAsia="Open Sans" w:hAnsi="Open Sans" w:cs="Open Sans"/>
            <w:color w:val="467886"/>
            <w:sz w:val="16"/>
            <w:szCs w:val="16"/>
            <w:u w:val="single"/>
          </w:rPr>
          <w:t>marina.gascon@newlink-group.com</w:t>
        </w:r>
      </w:hyperlink>
    </w:p>
    <w:p w14:paraId="10ABD05B" w14:textId="77777777" w:rsidR="0041346F" w:rsidRDefault="00000000">
      <w:pPr>
        <w:spacing w:after="0"/>
        <w:jc w:val="right"/>
        <w:rPr>
          <w:rFonts w:ascii="Open Sans" w:eastAsia="Open Sans" w:hAnsi="Open Sans" w:cs="Open Sans"/>
          <w:sz w:val="16"/>
          <w:szCs w:val="16"/>
        </w:rPr>
      </w:pPr>
      <w:r>
        <w:rPr>
          <w:rFonts w:ascii="Open Sans" w:eastAsia="Open Sans" w:hAnsi="Open Sans" w:cs="Open Sans"/>
          <w:sz w:val="16"/>
          <w:szCs w:val="16"/>
        </w:rPr>
        <w:t>+34 651 963 459</w:t>
      </w:r>
    </w:p>
    <w:p w14:paraId="10ABD05C" w14:textId="77777777" w:rsidR="0041346F" w:rsidRDefault="00000000">
      <w:pPr>
        <w:spacing w:after="0"/>
        <w:jc w:val="right"/>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b/>
          <w:sz w:val="16"/>
          <w:szCs w:val="16"/>
        </w:rPr>
        <w:t>María Sánchez-Girón</w:t>
      </w:r>
    </w:p>
    <w:p w14:paraId="10ABD05D" w14:textId="77777777" w:rsidR="0041346F" w:rsidRDefault="00000000">
      <w:pPr>
        <w:spacing w:after="0"/>
        <w:jc w:val="right"/>
        <w:rPr>
          <w:rFonts w:ascii="Open Sans" w:eastAsia="Open Sans" w:hAnsi="Open Sans" w:cs="Open Sans"/>
          <w:sz w:val="16"/>
          <w:szCs w:val="16"/>
        </w:rPr>
      </w:pPr>
      <w:hyperlink r:id="rId11">
        <w:r>
          <w:rPr>
            <w:rFonts w:ascii="Open Sans" w:eastAsia="Open Sans" w:hAnsi="Open Sans" w:cs="Open Sans"/>
            <w:color w:val="467886"/>
            <w:sz w:val="16"/>
            <w:szCs w:val="16"/>
            <w:u w:val="single"/>
          </w:rPr>
          <w:t>maria.sanchez-giron@newlink-group.com</w:t>
        </w:r>
      </w:hyperlink>
    </w:p>
    <w:p w14:paraId="10ABD05E" w14:textId="77777777" w:rsidR="0041346F" w:rsidRDefault="00000000">
      <w:pPr>
        <w:spacing w:after="0"/>
        <w:jc w:val="right"/>
        <w:rPr>
          <w:rFonts w:ascii="Open Sans" w:eastAsia="Open Sans" w:hAnsi="Open Sans" w:cs="Open Sans"/>
          <w:sz w:val="16"/>
          <w:szCs w:val="16"/>
        </w:rPr>
      </w:pPr>
      <w:r>
        <w:rPr>
          <w:rFonts w:ascii="Open Sans" w:eastAsia="Open Sans" w:hAnsi="Open Sans" w:cs="Open Sans"/>
          <w:sz w:val="16"/>
          <w:szCs w:val="16"/>
        </w:rPr>
        <w:t>+34 653 125 545</w:t>
      </w:r>
    </w:p>
    <w:p w14:paraId="10ABD05F" w14:textId="77777777" w:rsidR="0041346F" w:rsidRDefault="0041346F">
      <w:pPr>
        <w:spacing w:after="0" w:line="240" w:lineRule="auto"/>
        <w:jc w:val="center"/>
        <w:rPr>
          <w:rFonts w:ascii="Century Gothic" w:eastAsia="Century Gothic" w:hAnsi="Century Gothic" w:cs="Century Gothic"/>
          <w:b/>
          <w:color w:val="C55911"/>
          <w:sz w:val="34"/>
          <w:szCs w:val="34"/>
        </w:rPr>
      </w:pPr>
    </w:p>
    <w:sectPr w:rsidR="0041346F">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F338A" w14:textId="77777777" w:rsidR="0064237E" w:rsidRDefault="0064237E">
      <w:pPr>
        <w:spacing w:after="0" w:line="240" w:lineRule="auto"/>
      </w:pPr>
      <w:r>
        <w:separator/>
      </w:r>
    </w:p>
  </w:endnote>
  <w:endnote w:type="continuationSeparator" w:id="0">
    <w:p w14:paraId="26930D99" w14:textId="77777777" w:rsidR="0064237E" w:rsidRDefault="00642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E6CB4F-192A-4DBF-83F9-AE4EBB24F3F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8CFAD79-4807-4F6C-ACD5-1D45602A6252}"/>
    <w:embedBold r:id="rId3" w:fontKey="{450B25F5-42C0-4EBD-B70A-FB9EC7783309}"/>
    <w:embedItalic r:id="rId4" w:fontKey="{097DE367-35D7-41BA-82CC-56000ACB54B7}"/>
  </w:font>
  <w:font w:name="Play">
    <w:charset w:val="00"/>
    <w:family w:val="auto"/>
    <w:pitch w:val="default"/>
    <w:embedRegular r:id="rId5" w:fontKey="{BD2B0789-1998-4764-9E60-D908ED9E5A8C}"/>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B409996C-9C2B-4F1E-9075-F1D0931F75F7}"/>
  </w:font>
  <w:font w:name="Century Gothic">
    <w:panose1 w:val="020B0502020202020204"/>
    <w:charset w:val="00"/>
    <w:family w:val="swiss"/>
    <w:pitch w:val="variable"/>
    <w:sig w:usb0="00000287" w:usb1="00000000" w:usb2="00000000" w:usb3="00000000" w:csb0="0000009F" w:csb1="00000000"/>
    <w:embedRegular r:id="rId7" w:fontKey="{1AD0DF8F-8093-4EEC-A54C-26C588962589}"/>
    <w:embedBold r:id="rId8" w:fontKey="{79BDD025-0E26-4BB6-B08F-0BC77A3C2C7C}"/>
    <w:embedItalic r:id="rId9" w:fontKey="{2F206B25-A47C-4636-919A-EF9A8C1CFDB6}"/>
    <w:embedBoldItalic r:id="rId10" w:fontKey="{693BD7A9-9B8C-414F-8E45-70163D1A9ACB}"/>
  </w:font>
  <w:font w:name="Open Sans">
    <w:panose1 w:val="020B0606030504020204"/>
    <w:charset w:val="00"/>
    <w:family w:val="swiss"/>
    <w:pitch w:val="variable"/>
    <w:sig w:usb0="E00002EF" w:usb1="4000205B" w:usb2="00000028" w:usb3="00000000" w:csb0="0000019F" w:csb1="00000000"/>
    <w:embedRegular r:id="rId11" w:fontKey="{E1EF51AE-5C6D-4926-BC9B-50B9F243CF0B}"/>
    <w:embedBold r:id="rId12" w:fontKey="{7F68A6C5-828D-4213-9EB9-CE6C1AF7F3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0BB47" w14:textId="77777777" w:rsidR="0064237E" w:rsidRDefault="0064237E">
      <w:pPr>
        <w:spacing w:after="0" w:line="240" w:lineRule="auto"/>
      </w:pPr>
      <w:r>
        <w:separator/>
      </w:r>
    </w:p>
  </w:footnote>
  <w:footnote w:type="continuationSeparator" w:id="0">
    <w:p w14:paraId="07192F48" w14:textId="77777777" w:rsidR="0064237E" w:rsidRDefault="00642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D066" w14:textId="77777777" w:rsidR="0041346F"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10ABD067" wp14:editId="10ABD068">
          <wp:extent cx="1581524" cy="615162"/>
          <wp:effectExtent l="0" t="0" r="0" b="0"/>
          <wp:docPr id="1706934827" name="image1.jp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jpg" descr="Logotipo&#10;&#10;El contenido generado por IA puede ser incorrecto."/>
                  <pic:cNvPicPr preferRelativeResize="0"/>
                </pic:nvPicPr>
                <pic:blipFill>
                  <a:blip r:embed="rId1"/>
                  <a:srcRect/>
                  <a:stretch>
                    <a:fillRect/>
                  </a:stretch>
                </pic:blipFill>
                <pic:spPr>
                  <a:xfrm>
                    <a:off x="0" y="0"/>
                    <a:ext cx="1581524" cy="6151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55CED"/>
    <w:multiLevelType w:val="multilevel"/>
    <w:tmpl w:val="8AC05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5F4897"/>
    <w:multiLevelType w:val="multilevel"/>
    <w:tmpl w:val="7D70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4375388">
    <w:abstractNumId w:val="1"/>
  </w:num>
  <w:num w:numId="2" w16cid:durableId="157535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46F"/>
    <w:rsid w:val="000019AD"/>
    <w:rsid w:val="0041346F"/>
    <w:rsid w:val="0064237E"/>
    <w:rsid w:val="009D1281"/>
    <w:rsid w:val="00BE76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BD03C"/>
  <w15:docId w15:val="{17510507-038C-49CC-910F-052261C3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1D6A0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6A0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6A0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1D6A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1D6A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1D6A08"/>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1D6A08"/>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1D6A08"/>
    <w:rPr>
      <w:rFonts w:eastAsiaTheme="majorEastAsia" w:cstheme="majorBidi"/>
      <w:color w:val="0F4761" w:themeColor="accent1" w:themeShade="BF"/>
    </w:rPr>
  </w:style>
  <w:style w:type="character" w:customStyle="1" w:styleId="Ttulo6Car">
    <w:name w:val="Título 6 Car"/>
    <w:basedOn w:val="Fuentedeprrafopredeter"/>
    <w:uiPriority w:val="9"/>
    <w:semiHidden/>
    <w:rsid w:val="001D6A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6A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6A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6A08"/>
    <w:rPr>
      <w:rFonts w:eastAsiaTheme="majorEastAsia" w:cstheme="majorBidi"/>
      <w:color w:val="272727" w:themeColor="text1" w:themeTint="D8"/>
    </w:rPr>
  </w:style>
  <w:style w:type="character" w:customStyle="1" w:styleId="TtuloCar">
    <w:name w:val="Título Car"/>
    <w:basedOn w:val="Fuentedeprrafopredeter"/>
    <w:uiPriority w:val="10"/>
    <w:rsid w:val="001D6A08"/>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1D6A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6A08"/>
    <w:pPr>
      <w:spacing w:before="160"/>
      <w:jc w:val="center"/>
    </w:pPr>
    <w:rPr>
      <w:i/>
      <w:iCs/>
      <w:color w:val="404040" w:themeColor="text1" w:themeTint="BF"/>
    </w:rPr>
  </w:style>
  <w:style w:type="character" w:customStyle="1" w:styleId="CitaCar">
    <w:name w:val="Cita Car"/>
    <w:basedOn w:val="Fuentedeprrafopredeter"/>
    <w:link w:val="Cita"/>
    <w:uiPriority w:val="29"/>
    <w:rsid w:val="001D6A08"/>
    <w:rPr>
      <w:i/>
      <w:iCs/>
      <w:color w:val="404040" w:themeColor="text1" w:themeTint="BF"/>
    </w:rPr>
  </w:style>
  <w:style w:type="paragraph" w:styleId="Prrafodelista">
    <w:name w:val="List Paragraph"/>
    <w:basedOn w:val="Normal"/>
    <w:uiPriority w:val="34"/>
    <w:qFormat/>
    <w:rsid w:val="001D6A08"/>
    <w:pPr>
      <w:ind w:left="720"/>
      <w:contextualSpacing/>
    </w:pPr>
  </w:style>
  <w:style w:type="character" w:styleId="nfasisintenso">
    <w:name w:val="Intense Emphasis"/>
    <w:basedOn w:val="Fuentedeprrafopredeter"/>
    <w:uiPriority w:val="21"/>
    <w:qFormat/>
    <w:rsid w:val="001D6A08"/>
    <w:rPr>
      <w:i/>
      <w:iCs/>
      <w:color w:val="0F4761" w:themeColor="accent1" w:themeShade="BF"/>
    </w:rPr>
  </w:style>
  <w:style w:type="paragraph" w:styleId="Citadestacada">
    <w:name w:val="Intense Quote"/>
    <w:basedOn w:val="Normal"/>
    <w:next w:val="Normal"/>
    <w:link w:val="CitadestacadaCar"/>
    <w:uiPriority w:val="30"/>
    <w:qFormat/>
    <w:rsid w:val="001D6A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D6A08"/>
    <w:rPr>
      <w:i/>
      <w:iCs/>
      <w:color w:val="0F4761" w:themeColor="accent1" w:themeShade="BF"/>
    </w:rPr>
  </w:style>
  <w:style w:type="character" w:styleId="Referenciaintensa">
    <w:name w:val="Intense Reference"/>
    <w:basedOn w:val="Fuentedeprrafopredeter"/>
    <w:uiPriority w:val="32"/>
    <w:qFormat/>
    <w:rsid w:val="001D6A08"/>
    <w:rPr>
      <w:b/>
      <w:bCs/>
      <w:smallCaps/>
      <w:color w:val="0F4761" w:themeColor="accent1" w:themeShade="BF"/>
      <w:spacing w:val="5"/>
    </w:rPr>
  </w:style>
  <w:style w:type="paragraph" w:styleId="Encabezado">
    <w:name w:val="header"/>
    <w:basedOn w:val="Normal"/>
    <w:link w:val="EncabezadoCar"/>
    <w:uiPriority w:val="99"/>
    <w:unhideWhenUsed/>
    <w:rsid w:val="00B10D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0D84"/>
  </w:style>
  <w:style w:type="paragraph" w:styleId="Piedepgina">
    <w:name w:val="footer"/>
    <w:basedOn w:val="Normal"/>
    <w:link w:val="PiedepginaCar"/>
    <w:uiPriority w:val="99"/>
    <w:unhideWhenUsed/>
    <w:rsid w:val="00B10D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0D84"/>
  </w:style>
  <w:style w:type="character" w:styleId="Hipervnculo">
    <w:name w:val="Hyperlink"/>
    <w:basedOn w:val="Fuentedeprrafopredeter"/>
    <w:uiPriority w:val="99"/>
    <w:unhideWhenUsed/>
    <w:rsid w:val="006E6361"/>
    <w:rPr>
      <w:color w:val="467886" w:themeColor="hyperlink"/>
      <w:u w:val="single"/>
    </w:rPr>
  </w:style>
  <w:style w:type="paragraph" w:styleId="Subttulo">
    <w:name w:val="Subtitle"/>
    <w:basedOn w:val="Normal"/>
    <w:next w:val="Normal"/>
    <w:uiPriority w:val="11"/>
    <w:qFormat/>
    <w:rPr>
      <w:color w:val="595959"/>
      <w:sz w:val="28"/>
      <w:szCs w:val="2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earephenix.com/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sanchez-giron@newlink-group.com" TargetMode="External"/><Relationship Id="rId5" Type="http://schemas.openxmlformats.org/officeDocument/2006/relationships/webSettings" Target="webSettings.xml"/><Relationship Id="rId10" Type="http://schemas.openxmlformats.org/officeDocument/2006/relationships/hyperlink" Target="mailto:marina.gascon@newlink-group.com" TargetMode="External"/><Relationship Id="rId4" Type="http://schemas.openxmlformats.org/officeDocument/2006/relationships/settings" Target="settings.xml"/><Relationship Id="rId9" Type="http://schemas.openxmlformats.org/officeDocument/2006/relationships/hyperlink" Target="https://www.wearephenix.com/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QNEf09QRUEWSpKl9uPlDT2qVmw==">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839</Words>
  <Characters>4743</Characters>
  <Application>Microsoft Office Word</Application>
  <DocSecurity>0</DocSecurity>
  <Lines>96</Lines>
  <Paragraphs>25</Paragraphs>
  <ScaleCrop>false</ScaleCrop>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Sánchez-Girón</dc:creator>
  <cp:lastModifiedBy>Marina Gascón Martínez de Quel</cp:lastModifiedBy>
  <cp:revision>3</cp:revision>
  <dcterms:created xsi:type="dcterms:W3CDTF">2025-07-30T11:38:00Z</dcterms:created>
  <dcterms:modified xsi:type="dcterms:W3CDTF">2025-08-20T08:16:00Z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33f4d72b-12d7-4d35-b0ff-31dd49256481</vt:lpwstr>
  </property>
</Properties>
</file>