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A10FE" w14:textId="77777777" w:rsidR="00251D0A" w:rsidRDefault="00251D0A" w:rsidP="00251D0A">
      <w:pPr>
        <w:spacing w:line="276" w:lineRule="auto"/>
        <w:jc w:val="center"/>
        <w:rPr>
          <w:rFonts w:ascii="Century Gothic" w:eastAsia="Century Gothic" w:hAnsi="Century Gothic" w:cs="Century Gothic"/>
          <w:b/>
          <w:color w:val="C55911"/>
          <w:sz w:val="20"/>
          <w:szCs w:val="20"/>
          <w:u w:val="single"/>
        </w:rPr>
      </w:pPr>
      <w:r>
        <w:rPr>
          <w:rFonts w:ascii="Century Gothic" w:eastAsia="Century Gothic" w:hAnsi="Century Gothic" w:cs="Century Gothic"/>
          <w:b/>
          <w:color w:val="C55911"/>
          <w:sz w:val="20"/>
          <w:szCs w:val="20"/>
          <w:u w:val="single"/>
        </w:rPr>
        <w:t>29 de septiembre: Día Internacional contra el Desperdicio Alimentario</w:t>
      </w:r>
    </w:p>
    <w:p w14:paraId="7C2AA009" w14:textId="77777777" w:rsidR="00251D0A" w:rsidRDefault="00251D0A" w:rsidP="00251D0A">
      <w:pPr>
        <w:spacing w:line="276" w:lineRule="auto"/>
        <w:jc w:val="center"/>
        <w:rPr>
          <w:rFonts w:ascii="Century Gothic" w:eastAsia="Century Gothic" w:hAnsi="Century Gothic" w:cs="Century Gothic"/>
          <w:b/>
          <w:color w:val="C55911"/>
          <w:sz w:val="20"/>
          <w:szCs w:val="20"/>
          <w:u w:val="single"/>
        </w:rPr>
      </w:pPr>
    </w:p>
    <w:p w14:paraId="0A4A6937" w14:textId="77777777" w:rsidR="00251D0A" w:rsidRDefault="00251D0A" w:rsidP="00251D0A">
      <w:pPr>
        <w:pBdr>
          <w:top w:val="nil"/>
          <w:left w:val="nil"/>
          <w:bottom w:val="nil"/>
          <w:right w:val="nil"/>
          <w:between w:val="nil"/>
        </w:pBdr>
        <w:spacing w:line="276" w:lineRule="auto"/>
        <w:jc w:val="center"/>
        <w:rPr>
          <w:rFonts w:ascii="Century Gothic" w:eastAsia="Century Gothic" w:hAnsi="Century Gothic" w:cs="Century Gothic"/>
          <w:b/>
          <w:color w:val="C55911"/>
          <w:sz w:val="34"/>
          <w:szCs w:val="34"/>
        </w:rPr>
      </w:pPr>
      <w:r>
        <w:rPr>
          <w:rFonts w:ascii="Century Gothic" w:eastAsia="Century Gothic" w:hAnsi="Century Gothic" w:cs="Century Gothic"/>
          <w:b/>
          <w:color w:val="C55911"/>
          <w:sz w:val="34"/>
          <w:szCs w:val="34"/>
        </w:rPr>
        <w:t>El Parlamento Europeo y la ley española marcan un punto de inflexión en la gestión del desperdicio, según Phenix</w:t>
      </w:r>
    </w:p>
    <w:p w14:paraId="63B324D7" w14:textId="77777777" w:rsidR="00251D0A" w:rsidRDefault="00251D0A" w:rsidP="00251D0A">
      <w:pPr>
        <w:pBdr>
          <w:top w:val="nil"/>
          <w:left w:val="nil"/>
          <w:bottom w:val="nil"/>
          <w:right w:val="nil"/>
          <w:between w:val="nil"/>
        </w:pBdr>
        <w:spacing w:line="276" w:lineRule="auto"/>
        <w:jc w:val="center"/>
        <w:rPr>
          <w:rFonts w:ascii="Century Gothic" w:eastAsia="Century Gothic" w:hAnsi="Century Gothic" w:cs="Century Gothic"/>
          <w:b/>
          <w:color w:val="C55911"/>
          <w:sz w:val="34"/>
          <w:szCs w:val="34"/>
        </w:rPr>
      </w:pPr>
    </w:p>
    <w:p w14:paraId="6A993F58" w14:textId="77777777" w:rsidR="00251D0A" w:rsidRDefault="00251D0A" w:rsidP="00251D0A">
      <w:pPr>
        <w:numPr>
          <w:ilvl w:val="0"/>
          <w:numId w:val="2"/>
        </w:numPr>
        <w:pBdr>
          <w:top w:val="nil"/>
          <w:left w:val="nil"/>
          <w:bottom w:val="nil"/>
          <w:right w:val="nil"/>
          <w:between w:val="nil"/>
        </w:pBdr>
        <w:spacing w:line="276" w:lineRule="auto"/>
        <w:jc w:val="both"/>
        <w:rPr>
          <w:rFonts w:ascii="Century Gothic" w:eastAsia="Century Gothic" w:hAnsi="Century Gothic" w:cs="Century Gothic"/>
          <w:i/>
          <w:color w:val="000000"/>
        </w:rPr>
      </w:pPr>
      <w:r>
        <w:rPr>
          <w:rFonts w:ascii="Century Gothic" w:eastAsia="Century Gothic" w:hAnsi="Century Gothic" w:cs="Century Gothic"/>
          <w:i/>
          <w:color w:val="000000"/>
        </w:rPr>
        <w:t>La aprobación por parte del Parlamento Europeo de la reforma de la Directiva 2008/98/CE sobre residuos introduce objetivos más estrictos de prevención y reducción del desperdicio alimentario y textil.</w:t>
      </w:r>
    </w:p>
    <w:p w14:paraId="141FFABF" w14:textId="77777777" w:rsidR="00251D0A" w:rsidRDefault="00251D0A" w:rsidP="00251D0A">
      <w:pPr>
        <w:numPr>
          <w:ilvl w:val="0"/>
          <w:numId w:val="2"/>
        </w:numPr>
        <w:pBdr>
          <w:top w:val="nil"/>
          <w:left w:val="nil"/>
          <w:bottom w:val="nil"/>
          <w:right w:val="nil"/>
          <w:between w:val="nil"/>
        </w:pBdr>
        <w:spacing w:line="276" w:lineRule="auto"/>
        <w:jc w:val="both"/>
        <w:rPr>
          <w:rFonts w:ascii="Century Gothic" w:eastAsia="Century Gothic" w:hAnsi="Century Gothic" w:cs="Century Gothic"/>
          <w:i/>
          <w:color w:val="000000"/>
        </w:rPr>
      </w:pPr>
      <w:r>
        <w:rPr>
          <w:rFonts w:ascii="Century Gothic" w:eastAsia="Century Gothic" w:hAnsi="Century Gothic" w:cs="Century Gothic"/>
          <w:i/>
          <w:color w:val="000000"/>
        </w:rPr>
        <w:t>En España, la Ley de Prevención de Pérdidas y Desperdicio Alimentario obliga a los supermercados a contar con planes de prevención, protocolos de donación y medidas de valorización de excedentes.</w:t>
      </w:r>
    </w:p>
    <w:p w14:paraId="29E33AD1" w14:textId="77777777" w:rsidR="00251D0A" w:rsidRDefault="00251D0A" w:rsidP="00251D0A">
      <w:pPr>
        <w:numPr>
          <w:ilvl w:val="0"/>
          <w:numId w:val="2"/>
        </w:numPr>
        <w:pBdr>
          <w:top w:val="nil"/>
          <w:left w:val="nil"/>
          <w:bottom w:val="nil"/>
          <w:right w:val="nil"/>
          <w:between w:val="nil"/>
        </w:pBdr>
        <w:spacing w:line="276" w:lineRule="auto"/>
        <w:jc w:val="both"/>
        <w:rPr>
          <w:rFonts w:ascii="Century Gothic" w:eastAsia="Century Gothic" w:hAnsi="Century Gothic" w:cs="Century Gothic"/>
          <w:i/>
          <w:color w:val="000000"/>
        </w:rPr>
      </w:pPr>
      <w:r>
        <w:rPr>
          <w:rFonts w:ascii="Century Gothic" w:eastAsia="Century Gothic" w:hAnsi="Century Gothic" w:cs="Century Gothic"/>
          <w:i/>
          <w:color w:val="000000"/>
        </w:rPr>
        <w:t>Phenix analiza cómo estas normativas transforman al retail alimentario y ofrecen una oportunidad de innovación, eficiencia y compromiso social</w:t>
      </w:r>
      <w:r>
        <w:rPr>
          <w:rFonts w:ascii="Century Gothic" w:eastAsia="Century Gothic" w:hAnsi="Century Gothic" w:cs="Century Gothic"/>
          <w:i/>
        </w:rPr>
        <w:t xml:space="preserve"> y medioambiental </w:t>
      </w:r>
    </w:p>
    <w:p w14:paraId="0D543E11" w14:textId="77777777" w:rsidR="00251D0A" w:rsidRDefault="00251D0A" w:rsidP="00251D0A">
      <w:pPr>
        <w:pBdr>
          <w:top w:val="nil"/>
          <w:left w:val="nil"/>
          <w:bottom w:val="nil"/>
          <w:right w:val="nil"/>
          <w:between w:val="nil"/>
        </w:pBdr>
        <w:ind w:left="720"/>
        <w:rPr>
          <w:rFonts w:ascii="Century Gothic" w:eastAsia="Century Gothic" w:hAnsi="Century Gothic" w:cs="Century Gothic"/>
          <w:color w:val="000000"/>
        </w:rPr>
      </w:pPr>
    </w:p>
    <w:p w14:paraId="73DDD95B" w14:textId="77777777" w:rsidR="00251D0A" w:rsidRDefault="00251D0A" w:rsidP="00251D0A">
      <w:pPr>
        <w:pBdr>
          <w:top w:val="nil"/>
          <w:left w:val="nil"/>
          <w:bottom w:val="nil"/>
          <w:right w:val="nil"/>
          <w:between w:val="nil"/>
        </w:pBdr>
        <w:spacing w:line="276"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Madrid, 26 de septiembre de 2025</w:t>
      </w:r>
      <w:r>
        <w:rPr>
          <w:rFonts w:ascii="Century Gothic" w:eastAsia="Century Gothic" w:hAnsi="Century Gothic" w:cs="Century Gothic"/>
          <w:color w:val="000000"/>
        </w:rPr>
        <w:t xml:space="preserve"> – En el marco del </w:t>
      </w:r>
      <w:r>
        <w:rPr>
          <w:rFonts w:ascii="Century Gothic" w:eastAsia="Century Gothic" w:hAnsi="Century Gothic" w:cs="Century Gothic"/>
          <w:b/>
          <w:color w:val="000000"/>
        </w:rPr>
        <w:t>Día Internacional contra el Desperdicio Alimentario que tiene lugar el 29 de septiembre</w:t>
      </w:r>
      <w:r>
        <w:rPr>
          <w:rFonts w:ascii="Century Gothic" w:eastAsia="Century Gothic" w:hAnsi="Century Gothic" w:cs="Century Gothic"/>
          <w:color w:val="000000"/>
        </w:rPr>
        <w:t xml:space="preserve">, el debate europeo y nacional sobre cómo frenar esta problemática cobra un nuevo impulso. La reciente aprobación por parte del Parlamento Europeo de la reforma de la </w:t>
      </w:r>
      <w:r>
        <w:rPr>
          <w:rFonts w:ascii="Century Gothic" w:eastAsia="Century Gothic" w:hAnsi="Century Gothic" w:cs="Century Gothic"/>
          <w:b/>
          <w:color w:val="000000"/>
        </w:rPr>
        <w:t>Directiva 2008/98/CE</w:t>
      </w:r>
      <w:r>
        <w:rPr>
          <w:rFonts w:ascii="Century Gothic" w:eastAsia="Century Gothic" w:hAnsi="Century Gothic" w:cs="Century Gothic"/>
          <w:color w:val="000000"/>
        </w:rPr>
        <w:t xml:space="preserve"> sobre residuos introduce objetivos más estrictos de prevención y reducción del desperdicio alimentario y textil, sectores que concentran gran parte del consumo de recursos naturales y, por </w:t>
      </w:r>
      <w:r>
        <w:rPr>
          <w:rFonts w:ascii="Century Gothic" w:eastAsia="Century Gothic" w:hAnsi="Century Gothic" w:cs="Century Gothic"/>
        </w:rPr>
        <w:t>tanto,</w:t>
      </w:r>
      <w:r>
        <w:rPr>
          <w:rFonts w:ascii="Century Gothic" w:eastAsia="Century Gothic" w:hAnsi="Century Gothic" w:cs="Century Gothic"/>
          <w:color w:val="000000"/>
        </w:rPr>
        <w:t xml:space="preserve"> generan importantes impactos medioambientales.</w:t>
      </w:r>
    </w:p>
    <w:p w14:paraId="20E86754" w14:textId="77777777" w:rsidR="00251D0A" w:rsidRDefault="00251D0A" w:rsidP="00251D0A">
      <w:pPr>
        <w:pBdr>
          <w:top w:val="nil"/>
          <w:left w:val="nil"/>
          <w:bottom w:val="nil"/>
          <w:right w:val="nil"/>
          <w:between w:val="nil"/>
        </w:pBdr>
        <w:spacing w:line="276" w:lineRule="auto"/>
        <w:jc w:val="both"/>
        <w:rPr>
          <w:rFonts w:ascii="Century Gothic" w:eastAsia="Century Gothic" w:hAnsi="Century Gothic" w:cs="Century Gothic"/>
          <w:color w:val="000000"/>
        </w:rPr>
      </w:pPr>
    </w:p>
    <w:p w14:paraId="0ED0D151" w14:textId="77777777" w:rsidR="00251D0A" w:rsidRDefault="00251D0A" w:rsidP="00251D0A">
      <w:pPr>
        <w:pBdr>
          <w:top w:val="nil"/>
          <w:left w:val="nil"/>
          <w:bottom w:val="nil"/>
          <w:right w:val="nil"/>
          <w:between w:val="nil"/>
        </w:pBdr>
        <w:spacing w:line="276" w:lineRule="auto"/>
        <w:jc w:val="both"/>
        <w:rPr>
          <w:rFonts w:ascii="Century Gothic" w:eastAsia="Century Gothic" w:hAnsi="Century Gothic" w:cs="Century Gothic"/>
        </w:rPr>
      </w:pPr>
      <w:r>
        <w:rPr>
          <w:rFonts w:ascii="Century Gothic" w:eastAsia="Century Gothic" w:hAnsi="Century Gothic" w:cs="Century Gothic"/>
          <w:color w:val="000000"/>
        </w:rPr>
        <w:t xml:space="preserve">En paralelo, España ya aplica desde abril la </w:t>
      </w:r>
      <w:r>
        <w:rPr>
          <w:rFonts w:ascii="Century Gothic" w:eastAsia="Century Gothic" w:hAnsi="Century Gothic" w:cs="Century Gothic"/>
          <w:b/>
          <w:color w:val="000000"/>
        </w:rPr>
        <w:t>Ley de Prevención de Pérdidas y Desperdicio Alimentario</w:t>
      </w:r>
      <w:r>
        <w:rPr>
          <w:rFonts w:ascii="Century Gothic" w:eastAsia="Century Gothic" w:hAnsi="Century Gothic" w:cs="Century Gothic"/>
          <w:color w:val="000000"/>
        </w:rPr>
        <w:t xml:space="preserve">, que obliga al retail a implantar planes de prevención, protocolos de donación y medidas de valorización de excedentes. En este doble escenario normativo, </w:t>
      </w:r>
      <w:hyperlink r:id="rId7">
        <w:r>
          <w:rPr>
            <w:rFonts w:ascii="Century Gothic" w:eastAsia="Century Gothic" w:hAnsi="Century Gothic" w:cs="Century Gothic"/>
            <w:color w:val="467886"/>
            <w:u w:val="single"/>
          </w:rPr>
          <w:t>Phenix</w:t>
        </w:r>
      </w:hyperlink>
      <w:r>
        <w:rPr>
          <w:rFonts w:ascii="Century Gothic" w:eastAsia="Century Gothic" w:hAnsi="Century Gothic" w:cs="Century Gothic"/>
          <w:color w:val="000000"/>
        </w:rPr>
        <w:t>, empresa especializada en la gestión de excedentes, analiza cómo estas normativas transforman al sector y abren una oportunidad de innovación, eficiencia y compromiso social</w:t>
      </w:r>
      <w:r>
        <w:rPr>
          <w:rFonts w:ascii="Century Gothic" w:eastAsia="Century Gothic" w:hAnsi="Century Gothic" w:cs="Century Gothic"/>
        </w:rPr>
        <w:t xml:space="preserve"> </w:t>
      </w:r>
      <w:r>
        <w:rPr>
          <w:rFonts w:ascii="Century Gothic" w:eastAsia="Century Gothic" w:hAnsi="Century Gothic" w:cs="Century Gothic"/>
          <w:color w:val="000000"/>
        </w:rPr>
        <w:t>y medioambi</w:t>
      </w:r>
      <w:r>
        <w:rPr>
          <w:rFonts w:ascii="Century Gothic" w:eastAsia="Century Gothic" w:hAnsi="Century Gothic" w:cs="Century Gothic"/>
        </w:rPr>
        <w:t>ental.</w:t>
      </w:r>
    </w:p>
    <w:p w14:paraId="7BFAD50F" w14:textId="77777777" w:rsidR="00251D0A" w:rsidRDefault="00251D0A" w:rsidP="00251D0A">
      <w:pPr>
        <w:spacing w:before="240" w:after="240" w:line="276" w:lineRule="auto"/>
        <w:jc w:val="both"/>
        <w:rPr>
          <w:rFonts w:ascii="Century Gothic" w:eastAsia="Century Gothic" w:hAnsi="Century Gothic" w:cs="Century Gothic"/>
          <w:b/>
        </w:rPr>
      </w:pPr>
      <w:r>
        <w:rPr>
          <w:rFonts w:ascii="Century Gothic" w:eastAsia="Century Gothic" w:hAnsi="Century Gothic" w:cs="Century Gothic"/>
          <w:b/>
        </w:rPr>
        <w:t>Una reforma europea con impacto en toda la cadena de valor</w:t>
      </w:r>
    </w:p>
    <w:p w14:paraId="60CC88F9" w14:textId="77777777" w:rsidR="00251D0A" w:rsidRDefault="00251D0A" w:rsidP="00251D0A">
      <w:pPr>
        <w:spacing w:before="240" w:after="240" w:line="276" w:lineRule="auto"/>
        <w:jc w:val="both"/>
        <w:rPr>
          <w:rFonts w:ascii="Century Gothic" w:eastAsia="Century Gothic" w:hAnsi="Century Gothic" w:cs="Century Gothic"/>
        </w:rPr>
      </w:pPr>
      <w:r>
        <w:rPr>
          <w:rFonts w:ascii="Century Gothic" w:eastAsia="Century Gothic" w:hAnsi="Century Gothic" w:cs="Century Gothic"/>
        </w:rPr>
        <w:t xml:space="preserve">La modificación de la Directiva 2008/98/CE busca acelerar la transición hacia una economía circular en los Estados miembros. La normativa establece metas más ambiciosas para reducir el </w:t>
      </w:r>
      <w:r>
        <w:rPr>
          <w:rFonts w:ascii="Century Gothic" w:eastAsia="Century Gothic" w:hAnsi="Century Gothic" w:cs="Century Gothic"/>
          <w:b/>
        </w:rPr>
        <w:t>desperdicio alimentario</w:t>
      </w:r>
      <w:r>
        <w:rPr>
          <w:rFonts w:ascii="Century Gothic" w:eastAsia="Century Gothic" w:hAnsi="Century Gothic" w:cs="Century Gothic"/>
        </w:rPr>
        <w:t xml:space="preserve">, alineándose con los Objetivos de Desarrollo Sostenible, en particular el </w:t>
      </w:r>
      <w:r>
        <w:rPr>
          <w:rFonts w:ascii="Century Gothic" w:eastAsia="Century Gothic" w:hAnsi="Century Gothic" w:cs="Century Gothic"/>
          <w:b/>
        </w:rPr>
        <w:t>ODS 12 sobre Producción y Consumo Responsables</w:t>
      </w:r>
      <w:r>
        <w:rPr>
          <w:rFonts w:ascii="Century Gothic" w:eastAsia="Century Gothic" w:hAnsi="Century Gothic" w:cs="Century Gothic"/>
        </w:rPr>
        <w:t>. Además, refuerza la necesidad de implantar sistemas de monitorización para medir con mayor precisión las</w:t>
      </w:r>
      <w:r>
        <w:rPr>
          <w:rFonts w:ascii="Century Gothic" w:eastAsia="Century Gothic" w:hAnsi="Century Gothic" w:cs="Century Gothic"/>
          <w:color w:val="000000"/>
        </w:rPr>
        <w:t xml:space="preserve"> </w:t>
      </w:r>
      <w:r>
        <w:rPr>
          <w:rFonts w:ascii="Century Gothic" w:eastAsia="Century Gothic" w:hAnsi="Century Gothic" w:cs="Century Gothic"/>
          <w:b/>
          <w:color w:val="000000"/>
        </w:rPr>
        <w:t>pérdidas</w:t>
      </w:r>
      <w:r>
        <w:rPr>
          <w:rFonts w:ascii="Century Gothic" w:eastAsia="Century Gothic" w:hAnsi="Century Gothic" w:cs="Century Gothic"/>
          <w:color w:val="000000"/>
        </w:rPr>
        <w:t xml:space="preserve"> </w:t>
      </w:r>
      <w:r>
        <w:rPr>
          <w:rFonts w:ascii="Century Gothic" w:eastAsia="Century Gothic" w:hAnsi="Century Gothic" w:cs="Century Gothic"/>
          <w:b/>
        </w:rPr>
        <w:t>alimentarias</w:t>
      </w:r>
      <w:r>
        <w:rPr>
          <w:rFonts w:ascii="Century Gothic" w:eastAsia="Century Gothic" w:hAnsi="Century Gothic" w:cs="Century Gothic"/>
        </w:rPr>
        <w:t xml:space="preserve"> en el </w:t>
      </w:r>
      <w:r>
        <w:rPr>
          <w:rFonts w:ascii="Century Gothic" w:eastAsia="Century Gothic" w:hAnsi="Century Gothic" w:cs="Century Gothic"/>
          <w:b/>
        </w:rPr>
        <w:t>sector primario</w:t>
      </w:r>
      <w:r>
        <w:rPr>
          <w:rFonts w:ascii="Century Gothic" w:eastAsia="Century Gothic" w:hAnsi="Century Gothic" w:cs="Century Gothic"/>
        </w:rPr>
        <w:t xml:space="preserve"> y el </w:t>
      </w:r>
      <w:r>
        <w:rPr>
          <w:rFonts w:ascii="Century Gothic" w:eastAsia="Century Gothic" w:hAnsi="Century Gothic" w:cs="Century Gothic"/>
          <w:b/>
        </w:rPr>
        <w:t>desperdicio alimentario</w:t>
      </w:r>
      <w:r>
        <w:rPr>
          <w:rFonts w:ascii="Century Gothic" w:eastAsia="Century Gothic" w:hAnsi="Century Gothic" w:cs="Century Gothic"/>
        </w:rPr>
        <w:t xml:space="preserve"> en toda la cadena de suministro.</w:t>
      </w:r>
    </w:p>
    <w:p w14:paraId="21AFA149" w14:textId="77777777" w:rsidR="00251D0A" w:rsidRDefault="00251D0A" w:rsidP="00251D0A">
      <w:pPr>
        <w:pBdr>
          <w:top w:val="nil"/>
          <w:left w:val="nil"/>
          <w:bottom w:val="nil"/>
          <w:right w:val="nil"/>
          <w:between w:val="nil"/>
        </w:pBdr>
        <w:spacing w:line="276" w:lineRule="auto"/>
        <w:jc w:val="both"/>
        <w:rPr>
          <w:rFonts w:ascii="Century Gothic" w:eastAsia="Century Gothic" w:hAnsi="Century Gothic" w:cs="Century Gothic"/>
          <w:color w:val="000000"/>
        </w:rPr>
      </w:pPr>
    </w:p>
    <w:p w14:paraId="69CB256A" w14:textId="77777777" w:rsidR="00251D0A" w:rsidRDefault="00251D0A" w:rsidP="00251D0A">
      <w:pPr>
        <w:pBdr>
          <w:top w:val="nil"/>
          <w:left w:val="nil"/>
          <w:bottom w:val="nil"/>
          <w:right w:val="nil"/>
          <w:between w:val="nil"/>
        </w:pBdr>
        <w:spacing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lastRenderedPageBreak/>
        <w:t xml:space="preserve">Desde Phenix destacan que </w:t>
      </w:r>
      <w:r>
        <w:rPr>
          <w:rFonts w:ascii="Century Gothic" w:eastAsia="Century Gothic" w:hAnsi="Century Gothic" w:cs="Century Gothic"/>
          <w:b/>
          <w:color w:val="000000"/>
        </w:rPr>
        <w:t>uno de los pilares de la reforma es la redistribución prioritaria de los alimentos</w:t>
      </w:r>
      <w:r>
        <w:rPr>
          <w:rFonts w:ascii="Century Gothic" w:eastAsia="Century Gothic" w:hAnsi="Century Gothic" w:cs="Century Gothic"/>
          <w:color w:val="000000"/>
        </w:rPr>
        <w:t xml:space="preserve">. La norma deja claro que aquellos productos que sigan siendo aptos para consumo humano deben destinarse en primer lugar a la donación, antes de considerar otros usos como la alimentación animal o la valorización energética. De este modo, </w:t>
      </w:r>
      <w:r>
        <w:rPr>
          <w:rFonts w:ascii="Century Gothic" w:eastAsia="Century Gothic" w:hAnsi="Century Gothic" w:cs="Century Gothic"/>
          <w:b/>
          <w:color w:val="000000"/>
        </w:rPr>
        <w:t>la Unión Europea sitúa la donación como la vía preferente de aprovechamiento de excedentes</w:t>
      </w:r>
      <w:r>
        <w:rPr>
          <w:rFonts w:ascii="Century Gothic" w:eastAsia="Century Gothic" w:hAnsi="Century Gothic" w:cs="Century Gothic"/>
          <w:color w:val="000000"/>
        </w:rPr>
        <w:t xml:space="preserve">. Por último, la directiva reconoce el papel de </w:t>
      </w:r>
      <w:r>
        <w:rPr>
          <w:rFonts w:ascii="Century Gothic" w:eastAsia="Century Gothic" w:hAnsi="Century Gothic" w:cs="Century Gothic"/>
          <w:b/>
          <w:color w:val="000000"/>
        </w:rPr>
        <w:t>la innovación y la tecnología</w:t>
      </w:r>
      <w:r>
        <w:rPr>
          <w:rFonts w:ascii="Century Gothic" w:eastAsia="Century Gothic" w:hAnsi="Century Gothic" w:cs="Century Gothic"/>
          <w:color w:val="000000"/>
        </w:rPr>
        <w:t xml:space="preserve"> digital como aliados indispensables para alcanzar estos objetivos, promoviendo herramientas que mejoren la trazabilidad y la gestión en tiempo real.</w:t>
      </w:r>
    </w:p>
    <w:p w14:paraId="316740AE" w14:textId="77777777" w:rsidR="00251D0A" w:rsidRDefault="00251D0A" w:rsidP="00251D0A">
      <w:pPr>
        <w:spacing w:before="240" w:after="240" w:line="276" w:lineRule="auto"/>
        <w:jc w:val="both"/>
        <w:rPr>
          <w:rFonts w:ascii="Century Gothic" w:eastAsia="Century Gothic" w:hAnsi="Century Gothic" w:cs="Century Gothic"/>
          <w:b/>
        </w:rPr>
      </w:pPr>
      <w:r>
        <w:rPr>
          <w:rFonts w:ascii="Century Gothic" w:eastAsia="Century Gothic" w:hAnsi="Century Gothic" w:cs="Century Gothic"/>
          <w:b/>
        </w:rPr>
        <w:t>España: una ley nacional ya en vigor</w:t>
      </w:r>
    </w:p>
    <w:p w14:paraId="61291FA3" w14:textId="77777777" w:rsidR="00251D0A" w:rsidRDefault="00251D0A" w:rsidP="00251D0A">
      <w:pPr>
        <w:spacing w:before="240" w:after="240" w:line="276" w:lineRule="auto"/>
        <w:jc w:val="both"/>
        <w:rPr>
          <w:rFonts w:ascii="Century Gothic" w:eastAsia="Century Gothic" w:hAnsi="Century Gothic" w:cs="Century Gothic"/>
          <w:color w:val="000000"/>
        </w:rPr>
      </w:pPr>
      <w:r>
        <w:rPr>
          <w:rFonts w:ascii="Century Gothic" w:eastAsia="Century Gothic" w:hAnsi="Century Gothic" w:cs="Century Gothic"/>
        </w:rPr>
        <w:t xml:space="preserve">En España, la </w:t>
      </w:r>
      <w:r>
        <w:rPr>
          <w:rFonts w:ascii="Century Gothic" w:eastAsia="Century Gothic" w:hAnsi="Century Gothic" w:cs="Century Gothic"/>
          <w:b/>
        </w:rPr>
        <w:t>Ley 1/2025</w:t>
      </w:r>
      <w:r>
        <w:rPr>
          <w:rFonts w:ascii="Century Gothic" w:eastAsia="Century Gothic" w:hAnsi="Century Gothic" w:cs="Century Gothic"/>
        </w:rPr>
        <w:t xml:space="preserve">, en vigor desde abril de 2025, ha supuesto un cambio estructural en el sector de la distribución. La norma obliga a los supermercados y empresas de retail a elaborar planes de prevención que incluyan protocolos de gestión del stock excedente y medidas concretas para minimizar los excedentes desde el origen. Además, establece la obligación de promover la venta de </w:t>
      </w:r>
      <w:r>
        <w:rPr>
          <w:rFonts w:ascii="Century Gothic" w:eastAsia="Century Gothic" w:hAnsi="Century Gothic" w:cs="Century Gothic"/>
          <w:b/>
        </w:rPr>
        <w:t>productos con imperfecciones visuales</w:t>
      </w:r>
      <w:r>
        <w:rPr>
          <w:rFonts w:ascii="Century Gothic" w:eastAsia="Century Gothic" w:hAnsi="Century Gothic" w:cs="Century Gothic"/>
        </w:rPr>
        <w:t xml:space="preserve">, </w:t>
      </w:r>
      <w:r>
        <w:rPr>
          <w:rFonts w:ascii="Century Gothic" w:eastAsia="Century Gothic" w:hAnsi="Century Gothic" w:cs="Century Gothic"/>
          <w:color w:val="000000"/>
        </w:rPr>
        <w:t>a través de descuentos u otras fórmulas que eviten su destrucción.</w:t>
      </w:r>
    </w:p>
    <w:p w14:paraId="01AF948C" w14:textId="77777777" w:rsidR="00251D0A" w:rsidRDefault="00251D0A" w:rsidP="00251D0A">
      <w:pPr>
        <w:pBdr>
          <w:top w:val="nil"/>
          <w:left w:val="nil"/>
          <w:bottom w:val="nil"/>
          <w:right w:val="nil"/>
          <w:between w:val="nil"/>
        </w:pBdr>
        <w:spacing w:line="276" w:lineRule="auto"/>
        <w:jc w:val="both"/>
        <w:rPr>
          <w:rFonts w:ascii="Century Gothic" w:eastAsia="Century Gothic" w:hAnsi="Century Gothic" w:cs="Century Gothic"/>
        </w:rPr>
      </w:pPr>
      <w:r>
        <w:rPr>
          <w:rFonts w:ascii="Century Gothic" w:eastAsia="Century Gothic" w:hAnsi="Century Gothic" w:cs="Century Gothic"/>
          <w:color w:val="000000"/>
        </w:rPr>
        <w:t>La normativa exige igualmente reportar datos de seguimiento para evaluar los avances y ajustar las políticas públicas en función de los resultados. Este escenario abre una oportunidad para mejorar la eficiencia y fortalecer la reputación corporativa en un momento en el que los consumidores valoran cada vez más las iniciativas contra el desperdicio.</w:t>
      </w:r>
    </w:p>
    <w:p w14:paraId="47E27AA7" w14:textId="77777777" w:rsidR="00251D0A" w:rsidRDefault="00251D0A" w:rsidP="00251D0A">
      <w:pPr>
        <w:spacing w:before="240" w:after="240" w:line="276" w:lineRule="auto"/>
        <w:jc w:val="both"/>
        <w:rPr>
          <w:rFonts w:ascii="Century Gothic" w:eastAsia="Century Gothic" w:hAnsi="Century Gothic" w:cs="Century Gothic"/>
        </w:rPr>
      </w:pPr>
      <w:r>
        <w:rPr>
          <w:rFonts w:ascii="Century Gothic" w:eastAsia="Century Gothic" w:hAnsi="Century Gothic" w:cs="Century Gothic"/>
        </w:rPr>
        <w:t>Como empresa certificada B-Corp y líder en la gestión del excedente, Phenix interpreta estas normativas como una oportunidad de transformación estructural para el retail y en general, para todos los agentes de la cadena alimentaria, desde productores a consumidores.</w:t>
      </w:r>
    </w:p>
    <w:p w14:paraId="5688308F" w14:textId="77777777" w:rsidR="00251D0A" w:rsidRDefault="00251D0A" w:rsidP="00251D0A">
      <w:pPr>
        <w:spacing w:before="240" w:after="240" w:line="276" w:lineRule="auto"/>
        <w:jc w:val="both"/>
        <w:rPr>
          <w:rFonts w:ascii="Century Gothic" w:eastAsia="Century Gothic" w:hAnsi="Century Gothic" w:cs="Century Gothic"/>
          <w:color w:val="000000"/>
        </w:rPr>
      </w:pPr>
      <w:r>
        <w:rPr>
          <w:rFonts w:ascii="Century Gothic" w:eastAsia="Century Gothic" w:hAnsi="Century Gothic" w:cs="Century Gothic"/>
        </w:rPr>
        <w:t xml:space="preserve">Gracias a su experiencia, a su tecnología propia y a su red de más de </w:t>
      </w:r>
      <w:r>
        <w:rPr>
          <w:rFonts w:ascii="Century Gothic" w:eastAsia="Century Gothic" w:hAnsi="Century Gothic" w:cs="Century Gothic"/>
          <w:b/>
        </w:rPr>
        <w:t>200 asociaciones sociales en España</w:t>
      </w:r>
      <w:r>
        <w:rPr>
          <w:rFonts w:ascii="Century Gothic" w:eastAsia="Century Gothic" w:hAnsi="Century Gothic" w:cs="Century Gothic"/>
        </w:rPr>
        <w:t>, la compañía acompaña a las empresas en la digitalización de la gestión del excedente, y en particular de las donaciones. También facilita la canalización de donaciones de forma segura y eficiente, asegurando que los excedentes lleguen a quienes más los necesitan, y asesora en el diseño de planes de prevención personalizados que convierten el cumplimiento legal en una herramienta de innovación, eficiencia operativa y fortalecimiento de la relación con el consumidor.</w:t>
      </w:r>
    </w:p>
    <w:p w14:paraId="41BBD144" w14:textId="77777777" w:rsidR="00251D0A" w:rsidRDefault="00251D0A" w:rsidP="00251D0A">
      <w:pPr>
        <w:pBdr>
          <w:top w:val="nil"/>
          <w:left w:val="nil"/>
          <w:bottom w:val="nil"/>
          <w:right w:val="nil"/>
          <w:between w:val="nil"/>
        </w:pBdr>
        <w:spacing w:line="276" w:lineRule="auto"/>
        <w:jc w:val="both"/>
        <w:rPr>
          <w:rFonts w:ascii="Century Gothic" w:eastAsia="Century Gothic" w:hAnsi="Century Gothic" w:cs="Century Gothic"/>
          <w:b/>
        </w:rPr>
      </w:pPr>
      <w:r>
        <w:rPr>
          <w:rFonts w:ascii="Century Gothic" w:eastAsia="Century Gothic" w:hAnsi="Century Gothic" w:cs="Century Gothic"/>
          <w:i/>
          <w:color w:val="000000"/>
        </w:rPr>
        <w:t xml:space="preserve">“El nuevo marco normativo europeo y la ley española marcan un antes y un después en la gestión del desperdicio. Para el retail alimentario, ya no se trata solo de cumplir con una obligación legal, sino de aprovechar una oportunidad para innovar, ser más eficientes y generar un triple impacto positivo: económico, </w:t>
      </w:r>
      <w:r>
        <w:rPr>
          <w:rFonts w:ascii="Century Gothic" w:eastAsia="Century Gothic" w:hAnsi="Century Gothic" w:cs="Century Gothic"/>
          <w:i/>
          <w:color w:val="000000"/>
        </w:rPr>
        <w:lastRenderedPageBreak/>
        <w:t>social y medioambiental”,</w:t>
      </w:r>
      <w:r>
        <w:rPr>
          <w:rFonts w:ascii="Century Gothic" w:eastAsia="Century Gothic" w:hAnsi="Century Gothic" w:cs="Century Gothic"/>
          <w:color w:val="000000"/>
        </w:rPr>
        <w:t xml:space="preserve"> explica </w:t>
      </w:r>
      <w:r>
        <w:rPr>
          <w:rFonts w:ascii="Century Gothic" w:eastAsia="Century Gothic" w:hAnsi="Century Gothic" w:cs="Century Gothic"/>
          <w:b/>
          <w:color w:val="000000"/>
        </w:rPr>
        <w:t xml:space="preserve">Pauline </w:t>
      </w:r>
      <w:proofErr w:type="spellStart"/>
      <w:r>
        <w:rPr>
          <w:rFonts w:ascii="Century Gothic" w:eastAsia="Century Gothic" w:hAnsi="Century Gothic" w:cs="Century Gothic"/>
          <w:b/>
          <w:color w:val="000000"/>
        </w:rPr>
        <w:t>Bertin</w:t>
      </w:r>
      <w:proofErr w:type="spellEnd"/>
      <w:r>
        <w:rPr>
          <w:rFonts w:ascii="Century Gothic" w:eastAsia="Century Gothic" w:hAnsi="Century Gothic" w:cs="Century Gothic"/>
          <w:b/>
          <w:color w:val="000000"/>
        </w:rPr>
        <w:t xml:space="preserve">, </w:t>
      </w:r>
      <w:proofErr w:type="spellStart"/>
      <w:r>
        <w:rPr>
          <w:rFonts w:ascii="Century Gothic" w:eastAsia="Century Gothic" w:hAnsi="Century Gothic" w:cs="Century Gothic"/>
          <w:b/>
          <w:color w:val="000000"/>
        </w:rPr>
        <w:t>Chief</w:t>
      </w:r>
      <w:proofErr w:type="spellEnd"/>
      <w:r>
        <w:rPr>
          <w:rFonts w:ascii="Century Gothic" w:eastAsia="Century Gothic" w:hAnsi="Century Gothic" w:cs="Century Gothic"/>
          <w:b/>
          <w:color w:val="000000"/>
        </w:rPr>
        <w:t xml:space="preserve"> Sales </w:t>
      </w:r>
      <w:proofErr w:type="spellStart"/>
      <w:r>
        <w:rPr>
          <w:rFonts w:ascii="Century Gothic" w:eastAsia="Century Gothic" w:hAnsi="Century Gothic" w:cs="Century Gothic"/>
          <w:b/>
          <w:color w:val="000000"/>
        </w:rPr>
        <w:t>Officer</w:t>
      </w:r>
      <w:proofErr w:type="spellEnd"/>
      <w:r>
        <w:rPr>
          <w:rFonts w:ascii="Century Gothic" w:eastAsia="Century Gothic" w:hAnsi="Century Gothic" w:cs="Century Gothic"/>
          <w:b/>
          <w:color w:val="000000"/>
        </w:rPr>
        <w:t xml:space="preserve"> de Phenix a nivel global.</w:t>
      </w:r>
    </w:p>
    <w:p w14:paraId="5D57E615" w14:textId="77777777" w:rsidR="00251D0A" w:rsidRDefault="00251D0A" w:rsidP="00251D0A">
      <w:pPr>
        <w:spacing w:line="276" w:lineRule="auto"/>
        <w:jc w:val="center"/>
        <w:rPr>
          <w:rFonts w:ascii="Century Gothic" w:eastAsia="Century Gothic" w:hAnsi="Century Gothic" w:cs="Century Gothic"/>
          <w:color w:val="000000"/>
        </w:rPr>
      </w:pPr>
      <w:r>
        <w:rPr>
          <w:rFonts w:ascii="Century Gothic" w:eastAsia="Century Gothic" w:hAnsi="Century Gothic" w:cs="Century Gothic"/>
          <w:color w:val="000000"/>
        </w:rPr>
        <w:t>- FIN   -</w:t>
      </w:r>
    </w:p>
    <w:p w14:paraId="10229F4E" w14:textId="77777777" w:rsidR="00251D0A" w:rsidRDefault="00251D0A" w:rsidP="00251D0A">
      <w:pPr>
        <w:rPr>
          <w:sz w:val="18"/>
          <w:szCs w:val="18"/>
        </w:rPr>
      </w:pPr>
    </w:p>
    <w:p w14:paraId="1B46277D" w14:textId="77777777" w:rsidR="00251D0A" w:rsidRDefault="00251D0A" w:rsidP="00251D0A">
      <w:pPr>
        <w:pBdr>
          <w:top w:val="nil"/>
          <w:left w:val="nil"/>
          <w:bottom w:val="nil"/>
          <w:right w:val="nil"/>
          <w:between w:val="nil"/>
        </w:pBdr>
        <w:spacing w:line="276" w:lineRule="auto"/>
        <w:jc w:val="center"/>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w:t>
      </w:r>
    </w:p>
    <w:p w14:paraId="6D65AA11" w14:textId="77777777" w:rsidR="00251D0A" w:rsidRDefault="00251D0A" w:rsidP="00251D0A">
      <w:pPr>
        <w:spacing w:line="276" w:lineRule="auto"/>
        <w:jc w:val="both"/>
        <w:rPr>
          <w:rFonts w:ascii="Century Gothic" w:eastAsia="Century Gothic" w:hAnsi="Century Gothic" w:cs="Century Gothic"/>
          <w:b/>
          <w:sz w:val="16"/>
          <w:szCs w:val="16"/>
        </w:rPr>
      </w:pPr>
      <w:r>
        <w:rPr>
          <w:rFonts w:ascii="Century Gothic" w:eastAsia="Century Gothic" w:hAnsi="Century Gothic" w:cs="Century Gothic"/>
          <w:b/>
          <w:sz w:val="16"/>
          <w:szCs w:val="16"/>
        </w:rPr>
        <w:t>Sobre Phenix</w:t>
      </w:r>
    </w:p>
    <w:p w14:paraId="703A4F33" w14:textId="77777777" w:rsidR="00251D0A" w:rsidRDefault="00251D0A" w:rsidP="00251D0A">
      <w:pPr>
        <w:spacing w:line="276" w:lineRule="auto"/>
        <w:jc w:val="both"/>
        <w:rPr>
          <w:rFonts w:ascii="Century Gothic" w:eastAsia="Century Gothic" w:hAnsi="Century Gothic" w:cs="Century Gothic"/>
          <w:sz w:val="16"/>
          <w:szCs w:val="16"/>
        </w:rPr>
      </w:pPr>
      <w:r>
        <w:rPr>
          <w:rFonts w:ascii="Century Gothic" w:eastAsia="Century Gothic" w:hAnsi="Century Gothic" w:cs="Century Gothic"/>
          <w:sz w:val="16"/>
          <w:szCs w:val="16"/>
        </w:rPr>
        <w:t>Phenix es una empresa certificada B-Corp especializada en maximizar el valor del excedente alimentario. A través de asesoramiento experto, tecnología propia y alianzas con comercios y entidades sociales, ayuda a empresas y consumidores a reducir el desperdicio y generar impacto social y ambiental positivo. En España, trabaja con más de 2.000 puntos de venta, incluyendo cadenas como BM Supermercados, Areas Iberia o La Menorquina.</w:t>
      </w:r>
    </w:p>
    <w:p w14:paraId="07FD4FA4" w14:textId="77777777" w:rsidR="00251D0A" w:rsidRDefault="00251D0A" w:rsidP="00251D0A">
      <w:pPr>
        <w:spacing w:line="276" w:lineRule="auto"/>
        <w:jc w:val="both"/>
        <w:rPr>
          <w:rFonts w:ascii="Century Gothic" w:eastAsia="Century Gothic" w:hAnsi="Century Gothic" w:cs="Century Gothic"/>
          <w:i/>
          <w:sz w:val="16"/>
          <w:szCs w:val="16"/>
        </w:rPr>
      </w:pPr>
      <w:r>
        <w:rPr>
          <w:rFonts w:ascii="Century Gothic" w:eastAsia="Century Gothic" w:hAnsi="Century Gothic" w:cs="Century Gothic"/>
          <w:i/>
          <w:sz w:val="16"/>
          <w:szCs w:val="16"/>
        </w:rPr>
        <w:t xml:space="preserve">Para más información: </w:t>
      </w:r>
      <w:hyperlink r:id="rId8">
        <w:r>
          <w:rPr>
            <w:rFonts w:ascii="Century Gothic" w:eastAsia="Century Gothic" w:hAnsi="Century Gothic" w:cs="Century Gothic"/>
            <w:i/>
            <w:color w:val="467886"/>
            <w:sz w:val="16"/>
            <w:szCs w:val="16"/>
            <w:u w:val="single"/>
          </w:rPr>
          <w:t>https://www.wearephenix.com/es/</w:t>
        </w:r>
      </w:hyperlink>
    </w:p>
    <w:p w14:paraId="1BE500A6" w14:textId="77777777" w:rsidR="00251D0A" w:rsidRDefault="00251D0A" w:rsidP="00251D0A">
      <w:pPr>
        <w:spacing w:line="276" w:lineRule="auto"/>
        <w:jc w:val="both"/>
        <w:rPr>
          <w:rFonts w:ascii="Century Gothic" w:eastAsia="Century Gothic" w:hAnsi="Century Gothic" w:cs="Century Gothic"/>
          <w:i/>
          <w:sz w:val="16"/>
          <w:szCs w:val="16"/>
        </w:rPr>
      </w:pPr>
    </w:p>
    <w:p w14:paraId="3B56B161" w14:textId="77777777" w:rsidR="00251D0A" w:rsidRDefault="00251D0A" w:rsidP="00251D0A">
      <w:pPr>
        <w:spacing w:line="276" w:lineRule="auto"/>
        <w:jc w:val="right"/>
        <w:rPr>
          <w:rFonts w:ascii="Century Gothic" w:eastAsia="Century Gothic" w:hAnsi="Century Gothic" w:cs="Century Gothic"/>
          <w:b/>
          <w:sz w:val="16"/>
          <w:szCs w:val="16"/>
        </w:rPr>
      </w:pPr>
      <w:r>
        <w:rPr>
          <w:rFonts w:ascii="Century Gothic" w:eastAsia="Century Gothic" w:hAnsi="Century Gothic" w:cs="Century Gothic"/>
          <w:b/>
          <w:sz w:val="16"/>
          <w:szCs w:val="16"/>
        </w:rPr>
        <w:t>Contacto para la prensa:</w:t>
      </w:r>
    </w:p>
    <w:p w14:paraId="07DF9E40" w14:textId="77777777" w:rsidR="00251D0A" w:rsidRDefault="00251D0A" w:rsidP="00251D0A">
      <w:pPr>
        <w:spacing w:line="276" w:lineRule="auto"/>
        <w:jc w:val="right"/>
        <w:rPr>
          <w:rFonts w:ascii="Century Gothic" w:eastAsia="Century Gothic" w:hAnsi="Century Gothic" w:cs="Century Gothic"/>
          <w:sz w:val="16"/>
          <w:szCs w:val="16"/>
        </w:rPr>
      </w:pPr>
      <w:r>
        <w:rPr>
          <w:rFonts w:ascii="Century Gothic" w:eastAsia="Century Gothic" w:hAnsi="Century Gothic" w:cs="Century Gothic"/>
          <w:b/>
          <w:sz w:val="16"/>
          <w:szCs w:val="16"/>
        </w:rPr>
        <w:t>Marina Gascón Martínez de Quel</w:t>
      </w:r>
    </w:p>
    <w:p w14:paraId="28C69FB8" w14:textId="77777777" w:rsidR="00251D0A" w:rsidRDefault="00251D0A" w:rsidP="00251D0A">
      <w:pPr>
        <w:spacing w:line="276" w:lineRule="auto"/>
        <w:jc w:val="right"/>
        <w:rPr>
          <w:rFonts w:ascii="Century Gothic" w:eastAsia="Century Gothic" w:hAnsi="Century Gothic" w:cs="Century Gothic"/>
          <w:sz w:val="16"/>
          <w:szCs w:val="16"/>
        </w:rPr>
      </w:pPr>
      <w:hyperlink r:id="rId9">
        <w:r>
          <w:rPr>
            <w:rFonts w:ascii="Century Gothic" w:eastAsia="Century Gothic" w:hAnsi="Century Gothic" w:cs="Century Gothic"/>
            <w:color w:val="467886"/>
            <w:sz w:val="16"/>
            <w:szCs w:val="16"/>
            <w:u w:val="single"/>
          </w:rPr>
          <w:t>marina.gascon@newlink-group.com</w:t>
        </w:r>
      </w:hyperlink>
    </w:p>
    <w:p w14:paraId="66EA1E99" w14:textId="77777777" w:rsidR="00251D0A" w:rsidRDefault="00251D0A" w:rsidP="00251D0A">
      <w:pPr>
        <w:spacing w:line="276" w:lineRule="auto"/>
        <w:jc w:val="right"/>
        <w:rPr>
          <w:rFonts w:ascii="Century Gothic" w:eastAsia="Century Gothic" w:hAnsi="Century Gothic" w:cs="Century Gothic"/>
          <w:sz w:val="16"/>
          <w:szCs w:val="16"/>
        </w:rPr>
      </w:pPr>
      <w:r>
        <w:rPr>
          <w:rFonts w:ascii="Century Gothic" w:eastAsia="Century Gothic" w:hAnsi="Century Gothic" w:cs="Century Gothic"/>
          <w:sz w:val="16"/>
          <w:szCs w:val="16"/>
        </w:rPr>
        <w:t>+34 651 963 459</w:t>
      </w:r>
    </w:p>
    <w:p w14:paraId="3EA4BBBC" w14:textId="77777777" w:rsidR="00251D0A" w:rsidRDefault="00251D0A" w:rsidP="00251D0A">
      <w:pPr>
        <w:spacing w:line="276" w:lineRule="auto"/>
        <w:jc w:val="right"/>
        <w:rPr>
          <w:rFonts w:ascii="Century Gothic" w:eastAsia="Century Gothic" w:hAnsi="Century Gothic" w:cs="Century Gothic"/>
          <w:sz w:val="16"/>
          <w:szCs w:val="16"/>
        </w:rPr>
      </w:pPr>
      <w:r>
        <w:rPr>
          <w:rFonts w:ascii="Century Gothic" w:eastAsia="Century Gothic" w:hAnsi="Century Gothic" w:cs="Century Gothic"/>
          <w:sz w:val="16"/>
          <w:szCs w:val="16"/>
        </w:rPr>
        <w:br/>
      </w:r>
      <w:r>
        <w:rPr>
          <w:rFonts w:ascii="Century Gothic" w:eastAsia="Century Gothic" w:hAnsi="Century Gothic" w:cs="Century Gothic"/>
          <w:b/>
          <w:sz w:val="16"/>
          <w:szCs w:val="16"/>
        </w:rPr>
        <w:t>María Sánchez-Girón</w:t>
      </w:r>
    </w:p>
    <w:p w14:paraId="50C2E134" w14:textId="77777777" w:rsidR="00251D0A" w:rsidRDefault="00251D0A" w:rsidP="00251D0A">
      <w:pPr>
        <w:spacing w:line="276" w:lineRule="auto"/>
        <w:jc w:val="right"/>
        <w:rPr>
          <w:rFonts w:ascii="Century Gothic" w:eastAsia="Century Gothic" w:hAnsi="Century Gothic" w:cs="Century Gothic"/>
          <w:sz w:val="16"/>
          <w:szCs w:val="16"/>
        </w:rPr>
      </w:pPr>
      <w:hyperlink r:id="rId10">
        <w:r>
          <w:rPr>
            <w:rFonts w:ascii="Century Gothic" w:eastAsia="Century Gothic" w:hAnsi="Century Gothic" w:cs="Century Gothic"/>
            <w:color w:val="467886"/>
            <w:sz w:val="16"/>
            <w:szCs w:val="16"/>
            <w:u w:val="single"/>
          </w:rPr>
          <w:t>maria.sanchez-giron@newlink-group.com</w:t>
        </w:r>
      </w:hyperlink>
    </w:p>
    <w:p w14:paraId="5F4673C9" w14:textId="77777777" w:rsidR="00251D0A" w:rsidRDefault="00251D0A" w:rsidP="00251D0A">
      <w:pPr>
        <w:spacing w:line="276" w:lineRule="auto"/>
        <w:jc w:val="right"/>
        <w:rPr>
          <w:rFonts w:ascii="Century Gothic" w:eastAsia="Century Gothic" w:hAnsi="Century Gothic" w:cs="Century Gothic"/>
          <w:sz w:val="16"/>
          <w:szCs w:val="16"/>
        </w:rPr>
      </w:pPr>
      <w:r>
        <w:rPr>
          <w:rFonts w:ascii="Century Gothic" w:eastAsia="Century Gothic" w:hAnsi="Century Gothic" w:cs="Century Gothic"/>
          <w:sz w:val="16"/>
          <w:szCs w:val="16"/>
        </w:rPr>
        <w:t>+34 653 125 545</w:t>
      </w:r>
    </w:p>
    <w:p w14:paraId="5D8A88B4" w14:textId="77777777" w:rsidR="001F172C" w:rsidRDefault="001F172C"/>
    <w:sectPr w:rsidR="001F172C">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A9EE6" w14:textId="77777777" w:rsidR="008B1F04" w:rsidRDefault="008B1F04" w:rsidP="00D46CA7">
      <w:r>
        <w:separator/>
      </w:r>
    </w:p>
  </w:endnote>
  <w:endnote w:type="continuationSeparator" w:id="0">
    <w:p w14:paraId="1FCBA44D" w14:textId="77777777" w:rsidR="008B1F04" w:rsidRDefault="008B1F04" w:rsidP="00D46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4D7E8" w14:textId="77777777" w:rsidR="008B1F04" w:rsidRDefault="008B1F04" w:rsidP="00D46CA7">
      <w:r>
        <w:separator/>
      </w:r>
    </w:p>
  </w:footnote>
  <w:footnote w:type="continuationSeparator" w:id="0">
    <w:p w14:paraId="364DB639" w14:textId="77777777" w:rsidR="008B1F04" w:rsidRDefault="008B1F04" w:rsidP="00D46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3A25" w14:textId="7DDA7D0B" w:rsidR="00D46CA7" w:rsidRDefault="00D46CA7" w:rsidP="00D46CA7">
    <w:pPr>
      <w:pStyle w:val="Encabezado"/>
      <w:jc w:val="center"/>
    </w:pPr>
    <w:r>
      <w:rPr>
        <w:noProof/>
        <w:color w:val="000000"/>
        <w:bdr w:val="none" w:sz="0" w:space="0" w:color="auto" w:frame="1"/>
      </w:rPr>
      <w:drawing>
        <wp:inline distT="0" distB="0" distL="0" distR="0" wp14:anchorId="600C4D2E" wp14:editId="503C4C38">
          <wp:extent cx="1581150" cy="619125"/>
          <wp:effectExtent l="0" t="0" r="0" b="9525"/>
          <wp:docPr id="329548356"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548356" name="Imagen 1"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84633"/>
    <w:multiLevelType w:val="multilevel"/>
    <w:tmpl w:val="CC14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723A3E"/>
    <w:multiLevelType w:val="multilevel"/>
    <w:tmpl w:val="15B898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86175802">
    <w:abstractNumId w:val="0"/>
  </w:num>
  <w:num w:numId="2" w16cid:durableId="2121610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433"/>
    <w:rsid w:val="001443B8"/>
    <w:rsid w:val="001F172C"/>
    <w:rsid w:val="00251D0A"/>
    <w:rsid w:val="008B1F04"/>
    <w:rsid w:val="009F03B9"/>
    <w:rsid w:val="00AA1433"/>
    <w:rsid w:val="00B37945"/>
    <w:rsid w:val="00BA40D4"/>
    <w:rsid w:val="00D46C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5EDB7"/>
  <w15:chartTrackingRefBased/>
  <w15:docId w15:val="{7C4AAEC2-2147-483E-96E3-DE5C68A58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D0A"/>
    <w:pPr>
      <w:spacing w:after="0" w:line="240" w:lineRule="auto"/>
    </w:pPr>
    <w:rPr>
      <w:rFonts w:ascii="Calibri" w:eastAsia="Calibri" w:hAnsi="Calibri" w:cs="Calibri"/>
      <w:kern w:val="0"/>
      <w:sz w:val="22"/>
      <w:szCs w:val="22"/>
      <w:lang w:val="es" w:eastAsia="es-ES"/>
      <w14:ligatures w14:val="none"/>
    </w:rPr>
  </w:style>
  <w:style w:type="paragraph" w:styleId="Ttulo1">
    <w:name w:val="heading 1"/>
    <w:basedOn w:val="Normal"/>
    <w:next w:val="Normal"/>
    <w:link w:val="Ttulo1Car"/>
    <w:uiPriority w:val="9"/>
    <w:qFormat/>
    <w:rsid w:val="00AA14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A14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A143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A143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A143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A143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A143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A143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A143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143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A143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A143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A143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A143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A143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A143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A143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A1433"/>
    <w:rPr>
      <w:rFonts w:eastAsiaTheme="majorEastAsia" w:cstheme="majorBidi"/>
      <w:color w:val="272727" w:themeColor="text1" w:themeTint="D8"/>
    </w:rPr>
  </w:style>
  <w:style w:type="paragraph" w:styleId="Ttulo">
    <w:name w:val="Title"/>
    <w:basedOn w:val="Normal"/>
    <w:next w:val="Normal"/>
    <w:link w:val="TtuloCar"/>
    <w:uiPriority w:val="10"/>
    <w:qFormat/>
    <w:rsid w:val="00AA143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143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A143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A143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A1433"/>
    <w:pPr>
      <w:spacing w:before="160"/>
      <w:jc w:val="center"/>
    </w:pPr>
    <w:rPr>
      <w:i/>
      <w:iCs/>
      <w:color w:val="404040" w:themeColor="text1" w:themeTint="BF"/>
    </w:rPr>
  </w:style>
  <w:style w:type="character" w:customStyle="1" w:styleId="CitaCar">
    <w:name w:val="Cita Car"/>
    <w:basedOn w:val="Fuentedeprrafopredeter"/>
    <w:link w:val="Cita"/>
    <w:uiPriority w:val="29"/>
    <w:rsid w:val="00AA1433"/>
    <w:rPr>
      <w:i/>
      <w:iCs/>
      <w:color w:val="404040" w:themeColor="text1" w:themeTint="BF"/>
    </w:rPr>
  </w:style>
  <w:style w:type="paragraph" w:styleId="Prrafodelista">
    <w:name w:val="List Paragraph"/>
    <w:basedOn w:val="Normal"/>
    <w:uiPriority w:val="34"/>
    <w:qFormat/>
    <w:rsid w:val="00AA1433"/>
    <w:pPr>
      <w:ind w:left="720"/>
      <w:contextualSpacing/>
    </w:pPr>
  </w:style>
  <w:style w:type="character" w:styleId="nfasisintenso">
    <w:name w:val="Intense Emphasis"/>
    <w:basedOn w:val="Fuentedeprrafopredeter"/>
    <w:uiPriority w:val="21"/>
    <w:qFormat/>
    <w:rsid w:val="00AA1433"/>
    <w:rPr>
      <w:i/>
      <w:iCs/>
      <w:color w:val="0F4761" w:themeColor="accent1" w:themeShade="BF"/>
    </w:rPr>
  </w:style>
  <w:style w:type="paragraph" w:styleId="Citadestacada">
    <w:name w:val="Intense Quote"/>
    <w:basedOn w:val="Normal"/>
    <w:next w:val="Normal"/>
    <w:link w:val="CitadestacadaCar"/>
    <w:uiPriority w:val="30"/>
    <w:qFormat/>
    <w:rsid w:val="00AA14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A1433"/>
    <w:rPr>
      <w:i/>
      <w:iCs/>
      <w:color w:val="0F4761" w:themeColor="accent1" w:themeShade="BF"/>
    </w:rPr>
  </w:style>
  <w:style w:type="character" w:styleId="Referenciaintensa">
    <w:name w:val="Intense Reference"/>
    <w:basedOn w:val="Fuentedeprrafopredeter"/>
    <w:uiPriority w:val="32"/>
    <w:qFormat/>
    <w:rsid w:val="00AA1433"/>
    <w:rPr>
      <w:b/>
      <w:bCs/>
      <w:smallCaps/>
      <w:color w:val="0F4761" w:themeColor="accent1" w:themeShade="BF"/>
      <w:spacing w:val="5"/>
    </w:rPr>
  </w:style>
  <w:style w:type="paragraph" w:styleId="Encabezado">
    <w:name w:val="header"/>
    <w:basedOn w:val="Normal"/>
    <w:link w:val="EncabezadoCar"/>
    <w:uiPriority w:val="99"/>
    <w:unhideWhenUsed/>
    <w:rsid w:val="00D46CA7"/>
    <w:pPr>
      <w:tabs>
        <w:tab w:val="center" w:pos="4252"/>
        <w:tab w:val="right" w:pos="8504"/>
      </w:tabs>
    </w:pPr>
  </w:style>
  <w:style w:type="character" w:customStyle="1" w:styleId="EncabezadoCar">
    <w:name w:val="Encabezado Car"/>
    <w:basedOn w:val="Fuentedeprrafopredeter"/>
    <w:link w:val="Encabezado"/>
    <w:uiPriority w:val="99"/>
    <w:rsid w:val="00D46CA7"/>
  </w:style>
  <w:style w:type="paragraph" w:styleId="Piedepgina">
    <w:name w:val="footer"/>
    <w:basedOn w:val="Normal"/>
    <w:link w:val="PiedepginaCar"/>
    <w:uiPriority w:val="99"/>
    <w:unhideWhenUsed/>
    <w:rsid w:val="00D46CA7"/>
    <w:pPr>
      <w:tabs>
        <w:tab w:val="center" w:pos="4252"/>
        <w:tab w:val="right" w:pos="8504"/>
      </w:tabs>
    </w:pPr>
  </w:style>
  <w:style w:type="character" w:customStyle="1" w:styleId="PiedepginaCar">
    <w:name w:val="Pie de página Car"/>
    <w:basedOn w:val="Fuentedeprrafopredeter"/>
    <w:link w:val="Piedepgina"/>
    <w:uiPriority w:val="99"/>
    <w:rsid w:val="00D46CA7"/>
  </w:style>
  <w:style w:type="character" w:styleId="Hipervnculo">
    <w:name w:val="Hyperlink"/>
    <w:basedOn w:val="Fuentedeprrafopredeter"/>
    <w:uiPriority w:val="99"/>
    <w:unhideWhenUsed/>
    <w:rsid w:val="00D46CA7"/>
    <w:rPr>
      <w:color w:val="467886" w:themeColor="hyperlink"/>
      <w:u w:val="single"/>
    </w:rPr>
  </w:style>
  <w:style w:type="character" w:styleId="Mencinsinresolver">
    <w:name w:val="Unresolved Mention"/>
    <w:basedOn w:val="Fuentedeprrafopredeter"/>
    <w:uiPriority w:val="99"/>
    <w:semiHidden/>
    <w:unhideWhenUsed/>
    <w:rsid w:val="00D46C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arephenix.com/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earephenix.com/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aria.sanchez-giron@newlink-group.com" TargetMode="External"/><Relationship Id="rId4" Type="http://schemas.openxmlformats.org/officeDocument/2006/relationships/webSettings" Target="webSettings.xml"/><Relationship Id="rId9" Type="http://schemas.openxmlformats.org/officeDocument/2006/relationships/hyperlink" Target="mailto:marina.gascon@newlink-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936</Words>
  <Characters>5153</Characters>
  <Application>Microsoft Office Word</Application>
  <DocSecurity>0</DocSecurity>
  <Lines>42</Lines>
  <Paragraphs>12</Paragraphs>
  <ScaleCrop>false</ScaleCrop>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Sánchez-Girón</dc:creator>
  <cp:keywords/>
  <dc:description/>
  <cp:lastModifiedBy>María Sánchez-Girón</cp:lastModifiedBy>
  <cp:revision>4</cp:revision>
  <dcterms:created xsi:type="dcterms:W3CDTF">2025-09-26T08:50:00Z</dcterms:created>
  <dcterms:modified xsi:type="dcterms:W3CDTF">2025-09-26T08:51:00Z</dcterms:modified>
</cp:coreProperties>
</file>