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5EB" w14:textId="77777777" w:rsidR="00FE62FB" w:rsidRDefault="00FE62FB" w:rsidP="00FE62FB">
      <w:pPr>
        <w:spacing w:line="276" w:lineRule="auto"/>
        <w:jc w:val="center"/>
        <w:rPr>
          <w:rFonts w:ascii="Century Gothic" w:eastAsia="Century Gothic" w:hAnsi="Century Gothic" w:cs="Century Gothic"/>
          <w:b/>
          <w:bCs/>
          <w:color w:val="C55911"/>
          <w:sz w:val="34"/>
          <w:szCs w:val="34"/>
          <w:lang w:val="es-ES"/>
        </w:rPr>
      </w:pPr>
    </w:p>
    <w:p w14:paraId="0140A79D" w14:textId="03D2F1C1" w:rsidR="00D420EB" w:rsidRDefault="00BF2844" w:rsidP="00D420EB">
      <w:pPr>
        <w:spacing w:line="276" w:lineRule="auto"/>
        <w:jc w:val="center"/>
        <w:rPr>
          <w:rFonts w:ascii="Century Gothic" w:eastAsia="Century Gothic" w:hAnsi="Century Gothic" w:cs="Century Gothic"/>
          <w:b/>
          <w:bCs/>
          <w:color w:val="C55911"/>
          <w:sz w:val="34"/>
          <w:szCs w:val="34"/>
          <w:lang w:val="es-ES"/>
        </w:rPr>
      </w:pPr>
      <w:r w:rsidRPr="00BF2844">
        <w:rPr>
          <w:rFonts w:ascii="Century Gothic" w:eastAsia="Century Gothic" w:hAnsi="Century Gothic" w:cs="Century Gothic"/>
          <w:b/>
          <w:bCs/>
          <w:color w:val="C55911"/>
          <w:sz w:val="34"/>
          <w:szCs w:val="34"/>
          <w:lang w:val="es-ES"/>
        </w:rPr>
        <w:t>Planificar el stock tras el verano: la clave de los supermercados para reducir el desperdicio</w:t>
      </w:r>
    </w:p>
    <w:p w14:paraId="03B6D9C9" w14:textId="613DB152" w:rsidR="002614FD" w:rsidRDefault="002614FD" w:rsidP="00D420EB">
      <w:pPr>
        <w:pStyle w:val="Prrafodelista"/>
        <w:numPr>
          <w:ilvl w:val="0"/>
          <w:numId w:val="7"/>
        </w:numPr>
        <w:spacing w:after="0" w:line="276" w:lineRule="auto"/>
        <w:ind w:left="714" w:hanging="357"/>
        <w:jc w:val="both"/>
        <w:rPr>
          <w:rFonts w:ascii="Century Gothic" w:eastAsia="Open Sans" w:hAnsi="Century Gothic" w:cs="Open Sans"/>
          <w:bCs/>
          <w:i/>
          <w:iCs/>
          <w:sz w:val="22"/>
          <w:szCs w:val="22"/>
        </w:rPr>
      </w:pPr>
      <w:r w:rsidRPr="002614FD">
        <w:rPr>
          <w:rFonts w:ascii="Century Gothic" w:eastAsia="Open Sans" w:hAnsi="Century Gothic" w:cs="Open Sans"/>
          <w:bCs/>
          <w:i/>
          <w:iCs/>
          <w:sz w:val="22"/>
          <w:szCs w:val="22"/>
        </w:rPr>
        <w:t>Phenix propone un conjunto de recomendaciones orientadas a optimizar la gestión del stock, minimizar pérdidas económicas y reducir el desperdicio de alimentos.</w:t>
      </w:r>
    </w:p>
    <w:p w14:paraId="3281FBDF" w14:textId="77777777" w:rsidR="00D420EB" w:rsidRDefault="00D420EB" w:rsidP="00D420EB">
      <w:pPr>
        <w:pStyle w:val="NormalWeb"/>
        <w:spacing w:before="0" w:beforeAutospacing="0" w:after="0" w:afterAutospacing="0" w:line="276" w:lineRule="auto"/>
        <w:jc w:val="both"/>
        <w:rPr>
          <w:rFonts w:ascii="Century Gothic" w:eastAsia="Open Sans" w:hAnsi="Century Gothic" w:cs="Open Sans"/>
          <w:b/>
          <w:bCs/>
          <w:sz w:val="22"/>
          <w:szCs w:val="22"/>
        </w:rPr>
      </w:pPr>
    </w:p>
    <w:p w14:paraId="1371286B" w14:textId="06BFF5BB" w:rsidR="009020B1" w:rsidRPr="009020B1" w:rsidRDefault="009020B1" w:rsidP="00D420EB">
      <w:pPr>
        <w:pStyle w:val="NormalWeb"/>
        <w:spacing w:before="0" w:beforeAutospacing="0" w:after="0" w:afterAutospacing="0" w:line="276" w:lineRule="auto"/>
        <w:jc w:val="both"/>
        <w:rPr>
          <w:rFonts w:ascii="Century Gothic" w:eastAsia="Open Sans" w:hAnsi="Century Gothic" w:cs="Open Sans"/>
          <w:bCs/>
          <w:sz w:val="22"/>
          <w:szCs w:val="22"/>
        </w:rPr>
      </w:pPr>
      <w:r w:rsidRPr="009020B1">
        <w:rPr>
          <w:rFonts w:ascii="Century Gothic" w:eastAsia="Open Sans" w:hAnsi="Century Gothic" w:cs="Open Sans"/>
          <w:b/>
          <w:bCs/>
          <w:sz w:val="22"/>
          <w:szCs w:val="22"/>
        </w:rPr>
        <w:t xml:space="preserve">Madrid, </w:t>
      </w:r>
      <w:r w:rsidR="0030379B">
        <w:rPr>
          <w:rFonts w:ascii="Century Gothic" w:eastAsia="Open Sans" w:hAnsi="Century Gothic" w:cs="Open Sans"/>
          <w:b/>
          <w:bCs/>
          <w:sz w:val="22"/>
          <w:szCs w:val="22"/>
        </w:rPr>
        <w:t>23</w:t>
      </w:r>
      <w:r w:rsidRPr="009020B1">
        <w:rPr>
          <w:rFonts w:ascii="Century Gothic" w:eastAsia="Open Sans" w:hAnsi="Century Gothic" w:cs="Open Sans"/>
          <w:b/>
          <w:bCs/>
          <w:sz w:val="22"/>
          <w:szCs w:val="22"/>
        </w:rPr>
        <w:t xml:space="preserve"> de septiembre de 2025</w:t>
      </w:r>
      <w:r w:rsidRPr="009020B1">
        <w:rPr>
          <w:rFonts w:ascii="Century Gothic" w:eastAsia="Open Sans" w:hAnsi="Century Gothic" w:cs="Open Sans"/>
          <w:bCs/>
          <w:sz w:val="22"/>
          <w:szCs w:val="22"/>
        </w:rPr>
        <w:t xml:space="preserve"> – Septiembre marca el regreso a la rutina para millones de hogares españoles: vuelta al colegio, reincorporación al trabajo y recuperación de los hábitos de consumo habituales. Para los supermercados, este periodo supone un desafío en la gestión del stock, ya que los patrones de compra cambian de forma significativa respecto a los meses de verano. Esta transición suele derivar en desajustes entre la previsión de ventas y la demanda real, lo que incrementa el riesgo de excedentes y desperdicio alimentario.</w:t>
      </w:r>
    </w:p>
    <w:p w14:paraId="3AC7D702" w14:textId="77777777" w:rsidR="00D420EB" w:rsidRDefault="00D420EB" w:rsidP="00D420EB">
      <w:pPr>
        <w:pStyle w:val="NormalWeb"/>
        <w:spacing w:before="0" w:beforeAutospacing="0" w:after="0" w:afterAutospacing="0" w:line="276" w:lineRule="auto"/>
        <w:jc w:val="both"/>
        <w:rPr>
          <w:rFonts w:ascii="Century Gothic" w:eastAsia="Open Sans" w:hAnsi="Century Gothic" w:cs="Open Sans"/>
          <w:bCs/>
          <w:sz w:val="22"/>
          <w:szCs w:val="22"/>
        </w:rPr>
      </w:pPr>
    </w:p>
    <w:p w14:paraId="5DBC088C" w14:textId="3FA868C3" w:rsidR="009020B1" w:rsidRDefault="009020B1" w:rsidP="00D420EB">
      <w:pPr>
        <w:pStyle w:val="NormalWeb"/>
        <w:spacing w:before="0" w:beforeAutospacing="0" w:after="0" w:afterAutospacing="0" w:line="276" w:lineRule="auto"/>
        <w:jc w:val="both"/>
        <w:rPr>
          <w:rFonts w:ascii="Century Gothic" w:eastAsia="Open Sans" w:hAnsi="Century Gothic" w:cs="Open Sans"/>
          <w:bCs/>
          <w:sz w:val="22"/>
          <w:szCs w:val="22"/>
        </w:rPr>
      </w:pPr>
      <w:r w:rsidRPr="009020B1">
        <w:rPr>
          <w:rFonts w:ascii="Century Gothic" w:eastAsia="Open Sans" w:hAnsi="Century Gothic" w:cs="Open Sans"/>
          <w:bCs/>
          <w:sz w:val="22"/>
          <w:szCs w:val="22"/>
        </w:rPr>
        <w:t xml:space="preserve">En este contexto, </w:t>
      </w:r>
      <w:hyperlink r:id="rId7" w:history="1">
        <w:r w:rsidRPr="009020B1">
          <w:rPr>
            <w:rStyle w:val="Hipervnculo"/>
            <w:rFonts w:ascii="Century Gothic" w:eastAsia="Open Sans" w:hAnsi="Century Gothic" w:cs="Open Sans"/>
            <w:b/>
            <w:bCs/>
            <w:sz w:val="22"/>
            <w:szCs w:val="22"/>
          </w:rPr>
          <w:t>Phenix</w:t>
        </w:r>
      </w:hyperlink>
      <w:r w:rsidRPr="009020B1">
        <w:rPr>
          <w:rFonts w:ascii="Century Gothic" w:eastAsia="Open Sans" w:hAnsi="Century Gothic" w:cs="Open Sans"/>
          <w:bCs/>
          <w:sz w:val="22"/>
          <w:szCs w:val="22"/>
        </w:rPr>
        <w:t>, empresa especializada en la gestión de excedentes, subraya la necesidad de que los supermercados refuercen sus planes de prevención en esta época del año. La empresa propone un conjunto de recomendaciones orientadas a optimizar la gestión del stock, minimizar pérdidas económicas y reducir el desperdicio de alimentos.</w:t>
      </w:r>
    </w:p>
    <w:p w14:paraId="7B8970D8" w14:textId="77777777" w:rsidR="00D420EB" w:rsidRPr="009020B1" w:rsidRDefault="00D420EB" w:rsidP="00D420EB">
      <w:pPr>
        <w:pStyle w:val="NormalWeb"/>
        <w:spacing w:before="0" w:beforeAutospacing="0" w:after="0" w:afterAutospacing="0" w:line="276" w:lineRule="auto"/>
        <w:jc w:val="both"/>
        <w:rPr>
          <w:rFonts w:ascii="Century Gothic" w:eastAsia="Open Sans" w:hAnsi="Century Gothic" w:cs="Open Sans"/>
          <w:bCs/>
          <w:sz w:val="22"/>
          <w:szCs w:val="22"/>
        </w:rPr>
      </w:pPr>
    </w:p>
    <w:p w14:paraId="60CF958A" w14:textId="31D9F933" w:rsidR="009020B1" w:rsidRDefault="009020B1" w:rsidP="00D420EB">
      <w:pPr>
        <w:pStyle w:val="NormalWeb"/>
        <w:numPr>
          <w:ilvl w:val="0"/>
          <w:numId w:val="9"/>
        </w:numPr>
        <w:spacing w:before="0" w:beforeAutospacing="0" w:after="0" w:afterAutospacing="0" w:line="276" w:lineRule="auto"/>
        <w:jc w:val="both"/>
        <w:rPr>
          <w:rFonts w:ascii="Century Gothic" w:eastAsia="Open Sans" w:hAnsi="Century Gothic" w:cs="Open Sans"/>
          <w:bCs/>
          <w:sz w:val="22"/>
          <w:szCs w:val="22"/>
        </w:rPr>
      </w:pPr>
      <w:r w:rsidRPr="009020B1">
        <w:rPr>
          <w:rFonts w:ascii="Century Gothic" w:eastAsia="Open Sans" w:hAnsi="Century Gothic" w:cs="Open Sans"/>
          <w:b/>
          <w:bCs/>
          <w:sz w:val="22"/>
          <w:szCs w:val="22"/>
        </w:rPr>
        <w:t>Análisis y revisión exhaustiva de inventarios:</w:t>
      </w:r>
      <w:r w:rsidRPr="009020B1">
        <w:rPr>
          <w:rFonts w:ascii="Century Gothic" w:eastAsia="Open Sans" w:hAnsi="Century Gothic" w:cs="Open Sans"/>
          <w:bCs/>
          <w:sz w:val="22"/>
          <w:szCs w:val="22"/>
        </w:rPr>
        <w:t xml:space="preserve"> El control adecuado del stock resulta determinante para la rentabilidad de cualquier supermercado. Desde Phenix destacan la importancia de realizar revisiones periódicas y detalladas de los inventarios para identificar productos próximos a su fecha de vencimiento y facilitar así su venta. Por ejemplo, asegurando que los artículos más antiguos estén en lugares visibles y accesibles para los compradores. Asimismo, se recomienda ajustar los pedidos en función de las tendencias de consumo y la estacionalidad, con el fin de evitar el sobreabastecimiento.</w:t>
      </w:r>
    </w:p>
    <w:p w14:paraId="3E709FBF" w14:textId="77777777" w:rsidR="00D420EB" w:rsidRPr="009020B1" w:rsidRDefault="00D420EB" w:rsidP="00D420EB">
      <w:pPr>
        <w:pStyle w:val="NormalWeb"/>
        <w:spacing w:before="0" w:beforeAutospacing="0" w:after="0" w:afterAutospacing="0" w:line="276" w:lineRule="auto"/>
        <w:ind w:left="720"/>
        <w:jc w:val="both"/>
        <w:rPr>
          <w:rFonts w:ascii="Century Gothic" w:eastAsia="Open Sans" w:hAnsi="Century Gothic" w:cs="Open Sans"/>
          <w:bCs/>
          <w:sz w:val="22"/>
          <w:szCs w:val="22"/>
        </w:rPr>
      </w:pPr>
    </w:p>
    <w:p w14:paraId="61DF8DAD" w14:textId="4AA7A554" w:rsidR="009020B1" w:rsidRPr="009020B1" w:rsidRDefault="009020B1" w:rsidP="00D420EB">
      <w:pPr>
        <w:pStyle w:val="NormalWeb"/>
        <w:numPr>
          <w:ilvl w:val="0"/>
          <w:numId w:val="10"/>
        </w:numPr>
        <w:spacing w:before="0" w:beforeAutospacing="0" w:after="0" w:afterAutospacing="0" w:line="276" w:lineRule="auto"/>
        <w:jc w:val="both"/>
        <w:rPr>
          <w:rFonts w:ascii="Century Gothic" w:eastAsia="Open Sans" w:hAnsi="Century Gothic" w:cs="Open Sans"/>
          <w:bCs/>
          <w:sz w:val="22"/>
          <w:szCs w:val="22"/>
        </w:rPr>
      </w:pPr>
      <w:r w:rsidRPr="009020B1">
        <w:rPr>
          <w:rFonts w:ascii="Century Gothic" w:eastAsia="Open Sans" w:hAnsi="Century Gothic" w:cs="Open Sans"/>
          <w:b/>
          <w:bCs/>
          <w:sz w:val="22"/>
          <w:szCs w:val="22"/>
        </w:rPr>
        <w:t>Ajuste de pedidos a las tendencias de venta:</w:t>
      </w:r>
      <w:r w:rsidRPr="009020B1">
        <w:rPr>
          <w:rFonts w:ascii="Century Gothic" w:eastAsia="Open Sans" w:hAnsi="Century Gothic" w:cs="Open Sans"/>
          <w:bCs/>
          <w:sz w:val="22"/>
          <w:szCs w:val="22"/>
        </w:rPr>
        <w:t xml:space="preserve"> El consumo de productos de verano (helados, refrescos, etc.) disminuye, mientras que aumenta la demanda de alimentos básicos y productos para preparar comidas en casa. Los supermercados deben ajustar sus pedidos para reflejar este cambio estacional y evitar el sobreabastecimiento de productos que ya no tienen tanta salida.</w:t>
      </w:r>
      <w:r w:rsidRPr="009020B1">
        <w:rPr>
          <w:rFonts w:ascii="Century Gothic" w:eastAsia="Open Sans" w:hAnsi="Century Gothic" w:cs="Open Sans"/>
          <w:bCs/>
          <w:sz w:val="22"/>
          <w:szCs w:val="22"/>
        </w:rPr>
        <w:br/>
      </w:r>
    </w:p>
    <w:p w14:paraId="524AFD12" w14:textId="3CE98E94" w:rsidR="009020B1" w:rsidRDefault="009020B1" w:rsidP="00D420EB">
      <w:pPr>
        <w:pStyle w:val="NormalWeb"/>
        <w:numPr>
          <w:ilvl w:val="0"/>
          <w:numId w:val="11"/>
        </w:numPr>
        <w:spacing w:before="0" w:beforeAutospacing="0" w:after="0" w:afterAutospacing="0" w:line="276" w:lineRule="auto"/>
        <w:jc w:val="both"/>
        <w:rPr>
          <w:rFonts w:ascii="Century Gothic" w:eastAsia="Open Sans" w:hAnsi="Century Gothic" w:cs="Open Sans"/>
          <w:bCs/>
          <w:sz w:val="22"/>
          <w:szCs w:val="22"/>
        </w:rPr>
      </w:pPr>
      <w:r w:rsidRPr="009020B1">
        <w:rPr>
          <w:rFonts w:ascii="Century Gothic" w:eastAsia="Open Sans" w:hAnsi="Century Gothic" w:cs="Open Sans"/>
          <w:b/>
          <w:bCs/>
          <w:sz w:val="22"/>
          <w:szCs w:val="22"/>
        </w:rPr>
        <w:t>Estrategia de precios y promociones:</w:t>
      </w:r>
      <w:r w:rsidRPr="009020B1">
        <w:rPr>
          <w:rFonts w:ascii="Century Gothic" w:eastAsia="Open Sans" w:hAnsi="Century Gothic" w:cs="Open Sans"/>
          <w:bCs/>
          <w:sz w:val="22"/>
          <w:szCs w:val="22"/>
        </w:rPr>
        <w:t xml:space="preserve"> Una gestión inteligente de los productos perecederos incluye la aplicación de promociones y descuentos a aquellos artículos con fecha de vencimiento cercana. Esto </w:t>
      </w:r>
      <w:r w:rsidRPr="009020B1">
        <w:rPr>
          <w:rFonts w:ascii="Century Gothic" w:eastAsia="Open Sans" w:hAnsi="Century Gothic" w:cs="Open Sans"/>
          <w:bCs/>
          <w:sz w:val="22"/>
          <w:szCs w:val="22"/>
        </w:rPr>
        <w:lastRenderedPageBreak/>
        <w:t>no solo reduce el desperdicio, sino que también ofrece un beneficio al consumidor que busca opciones más económicas. La tecnología puede ser un gran aliado para aplicar estos descuentos de forma automática.</w:t>
      </w:r>
    </w:p>
    <w:p w14:paraId="3A101336" w14:textId="77777777" w:rsidR="00D420EB" w:rsidRPr="009020B1" w:rsidRDefault="00D420EB" w:rsidP="00D420EB">
      <w:pPr>
        <w:pStyle w:val="NormalWeb"/>
        <w:spacing w:before="0" w:beforeAutospacing="0" w:after="0" w:afterAutospacing="0" w:line="276" w:lineRule="auto"/>
        <w:ind w:left="720"/>
        <w:jc w:val="both"/>
        <w:rPr>
          <w:rFonts w:ascii="Century Gothic" w:eastAsia="Open Sans" w:hAnsi="Century Gothic" w:cs="Open Sans"/>
          <w:bCs/>
          <w:sz w:val="22"/>
          <w:szCs w:val="22"/>
        </w:rPr>
      </w:pPr>
    </w:p>
    <w:p w14:paraId="7DB6BEF0" w14:textId="28866D1F" w:rsidR="009020B1" w:rsidRPr="009020B1" w:rsidRDefault="009020B1" w:rsidP="00D420EB">
      <w:pPr>
        <w:pStyle w:val="NormalWeb"/>
        <w:numPr>
          <w:ilvl w:val="0"/>
          <w:numId w:val="12"/>
        </w:numPr>
        <w:spacing w:before="0" w:beforeAutospacing="0" w:after="0" w:afterAutospacing="0" w:line="276" w:lineRule="auto"/>
        <w:jc w:val="both"/>
        <w:rPr>
          <w:rFonts w:ascii="Century Gothic" w:eastAsia="Open Sans" w:hAnsi="Century Gothic" w:cs="Open Sans"/>
          <w:bCs/>
          <w:sz w:val="22"/>
          <w:szCs w:val="22"/>
        </w:rPr>
      </w:pPr>
      <w:r w:rsidRPr="009020B1">
        <w:rPr>
          <w:rFonts w:ascii="Century Gothic" w:eastAsia="Open Sans" w:hAnsi="Century Gothic" w:cs="Open Sans"/>
          <w:b/>
          <w:bCs/>
          <w:sz w:val="22"/>
          <w:szCs w:val="22"/>
        </w:rPr>
        <w:t>Colaboración y donaciones:</w:t>
      </w:r>
      <w:r w:rsidRPr="009020B1">
        <w:rPr>
          <w:rFonts w:ascii="Century Gothic" w:eastAsia="Open Sans" w:hAnsi="Century Gothic" w:cs="Open Sans"/>
          <w:bCs/>
          <w:sz w:val="22"/>
          <w:szCs w:val="22"/>
        </w:rPr>
        <w:t xml:space="preserve"> Para aquellos productos que no se pueden vender, las donaciones a organizaciones benéficas representan una solución eficaz con un impacto social positivo y con incentivos fiscales reconocidos por la normativa vigente. Desde Phenix recuerdan que estas colaboraciones pueden gestionarse de forma más eficiente, logrando mejores resultados y mayor impacto que aplican soluciones probadas, con una metodología contrastada y capaces de extender estas prácticas a toda la red de tiendas. Además, gracias a la tecnología aplicada a las donaciones, es posible obtener datos útiles para optimizar la gestión del excedente y ajustar las estrategias de compra y venta. </w:t>
      </w:r>
    </w:p>
    <w:p w14:paraId="2D0F2A3B" w14:textId="77777777" w:rsidR="00D420EB" w:rsidRDefault="00D420EB" w:rsidP="00D420EB">
      <w:pPr>
        <w:pStyle w:val="NormalWeb"/>
        <w:spacing w:before="0" w:beforeAutospacing="0" w:after="0" w:afterAutospacing="0" w:line="276" w:lineRule="auto"/>
        <w:jc w:val="both"/>
        <w:rPr>
          <w:rFonts w:ascii="Century Gothic" w:eastAsia="Open Sans" w:hAnsi="Century Gothic" w:cs="Open Sans"/>
          <w:bCs/>
          <w:i/>
          <w:iCs/>
          <w:sz w:val="22"/>
          <w:szCs w:val="22"/>
        </w:rPr>
      </w:pPr>
    </w:p>
    <w:p w14:paraId="12FA982C" w14:textId="4EF19EF1" w:rsidR="00D420EB" w:rsidRPr="00D420EB" w:rsidRDefault="009020B1" w:rsidP="00D420EB">
      <w:pPr>
        <w:pStyle w:val="NormalWeb"/>
        <w:spacing w:before="0" w:beforeAutospacing="0" w:after="0" w:afterAutospacing="0" w:line="276" w:lineRule="auto"/>
        <w:jc w:val="both"/>
        <w:rPr>
          <w:rFonts w:ascii="Century Gothic" w:eastAsia="Open Sans" w:hAnsi="Century Gothic" w:cs="Open Sans"/>
          <w:b/>
          <w:bCs/>
          <w:sz w:val="22"/>
          <w:szCs w:val="22"/>
        </w:rPr>
      </w:pPr>
      <w:r w:rsidRPr="009020B1">
        <w:rPr>
          <w:rFonts w:ascii="Century Gothic" w:eastAsia="Open Sans" w:hAnsi="Century Gothic" w:cs="Open Sans"/>
          <w:bCs/>
          <w:i/>
          <w:iCs/>
          <w:sz w:val="22"/>
          <w:szCs w:val="22"/>
        </w:rPr>
        <w:t xml:space="preserve">“Septiembre es un mes de transición crucial para el sector de la distribución. La planificación y una gestión proactiva del stock son esenciales para evitar las pérdidas económicas y el desperdicio que pueden generar los cambios de consumo </w:t>
      </w:r>
      <w:proofErr w:type="spellStart"/>
      <w:r w:rsidRPr="009020B1">
        <w:rPr>
          <w:rFonts w:ascii="Century Gothic" w:eastAsia="Open Sans" w:hAnsi="Century Gothic" w:cs="Open Sans"/>
          <w:bCs/>
          <w:i/>
          <w:iCs/>
          <w:sz w:val="22"/>
          <w:szCs w:val="22"/>
        </w:rPr>
        <w:t>post-vacacionales</w:t>
      </w:r>
      <w:proofErr w:type="spellEnd"/>
      <w:r w:rsidRPr="009020B1">
        <w:rPr>
          <w:rFonts w:ascii="Century Gothic" w:eastAsia="Open Sans" w:hAnsi="Century Gothic" w:cs="Open Sans"/>
          <w:bCs/>
          <w:i/>
          <w:iCs/>
          <w:sz w:val="22"/>
          <w:szCs w:val="22"/>
        </w:rPr>
        <w:t>. En Phenix, trabajamos para que esta transición sea una oportunidad para el sector y para el planeta, demostrando que es posible ser rentable y sostenible al mismo tiempo”,</w:t>
      </w:r>
      <w:r w:rsidRPr="009020B1">
        <w:rPr>
          <w:rFonts w:ascii="Century Gothic" w:eastAsia="Open Sans" w:hAnsi="Century Gothic" w:cs="Open Sans"/>
          <w:bCs/>
          <w:sz w:val="22"/>
          <w:szCs w:val="22"/>
        </w:rPr>
        <w:t xml:space="preserve"> explica </w:t>
      </w:r>
      <w:r w:rsidRPr="009020B1">
        <w:rPr>
          <w:rFonts w:ascii="Century Gothic" w:eastAsia="Open Sans" w:hAnsi="Century Gothic" w:cs="Open Sans"/>
          <w:b/>
          <w:bCs/>
          <w:sz w:val="22"/>
          <w:szCs w:val="22"/>
        </w:rPr>
        <w:t xml:space="preserve">Pauline </w:t>
      </w:r>
      <w:proofErr w:type="spellStart"/>
      <w:r w:rsidRPr="009020B1">
        <w:rPr>
          <w:rFonts w:ascii="Century Gothic" w:eastAsia="Open Sans" w:hAnsi="Century Gothic" w:cs="Open Sans"/>
          <w:b/>
          <w:bCs/>
          <w:sz w:val="22"/>
          <w:szCs w:val="22"/>
        </w:rPr>
        <w:t>Bertin</w:t>
      </w:r>
      <w:proofErr w:type="spellEnd"/>
      <w:r w:rsidRPr="009020B1">
        <w:rPr>
          <w:rFonts w:ascii="Century Gothic" w:eastAsia="Open Sans" w:hAnsi="Century Gothic" w:cs="Open Sans"/>
          <w:b/>
          <w:bCs/>
          <w:sz w:val="22"/>
          <w:szCs w:val="22"/>
        </w:rPr>
        <w:t xml:space="preserve">, </w:t>
      </w:r>
      <w:proofErr w:type="spellStart"/>
      <w:r w:rsidRPr="009020B1">
        <w:rPr>
          <w:rFonts w:ascii="Century Gothic" w:eastAsia="Open Sans" w:hAnsi="Century Gothic" w:cs="Open Sans"/>
          <w:b/>
          <w:bCs/>
          <w:sz w:val="22"/>
          <w:szCs w:val="22"/>
        </w:rPr>
        <w:t>Chief</w:t>
      </w:r>
      <w:proofErr w:type="spellEnd"/>
      <w:r w:rsidRPr="009020B1">
        <w:rPr>
          <w:rFonts w:ascii="Century Gothic" w:eastAsia="Open Sans" w:hAnsi="Century Gothic" w:cs="Open Sans"/>
          <w:b/>
          <w:bCs/>
          <w:sz w:val="22"/>
          <w:szCs w:val="22"/>
        </w:rPr>
        <w:t xml:space="preserve"> Sales </w:t>
      </w:r>
      <w:proofErr w:type="spellStart"/>
      <w:r w:rsidRPr="009020B1">
        <w:rPr>
          <w:rFonts w:ascii="Century Gothic" w:eastAsia="Open Sans" w:hAnsi="Century Gothic" w:cs="Open Sans"/>
          <w:b/>
          <w:bCs/>
          <w:sz w:val="22"/>
          <w:szCs w:val="22"/>
        </w:rPr>
        <w:t>Officer</w:t>
      </w:r>
      <w:proofErr w:type="spellEnd"/>
      <w:r w:rsidRPr="009020B1">
        <w:rPr>
          <w:rFonts w:ascii="Century Gothic" w:eastAsia="Open Sans" w:hAnsi="Century Gothic" w:cs="Open Sans"/>
          <w:b/>
          <w:bCs/>
          <w:sz w:val="22"/>
          <w:szCs w:val="22"/>
        </w:rPr>
        <w:t xml:space="preserve"> de Phenix a nivel global.</w:t>
      </w:r>
    </w:p>
    <w:p w14:paraId="30FA9918" w14:textId="60067A94" w:rsidR="006D25CA" w:rsidRDefault="006D25CA" w:rsidP="006D25CA">
      <w:pPr>
        <w:pStyle w:val="NormalWeb"/>
        <w:spacing w:line="276" w:lineRule="auto"/>
        <w:jc w:val="center"/>
        <w:rPr>
          <w:rFonts w:ascii="Open Sans" w:eastAsia="Open Sans" w:hAnsi="Open Sans" w:cs="Open Sans"/>
          <w:sz w:val="22"/>
          <w:szCs w:val="22"/>
        </w:rPr>
      </w:pPr>
      <w:r>
        <w:rPr>
          <w:rFonts w:ascii="Open Sans" w:eastAsia="Open Sans" w:hAnsi="Open Sans" w:cs="Open Sans"/>
          <w:sz w:val="22"/>
          <w:szCs w:val="22"/>
        </w:rPr>
        <w:t>***</w:t>
      </w:r>
    </w:p>
    <w:p w14:paraId="18D005C3" w14:textId="77777777" w:rsidR="006D25CA" w:rsidRDefault="006D25CA" w:rsidP="006D25CA">
      <w:pPr>
        <w:jc w:val="both"/>
        <w:rPr>
          <w:rFonts w:ascii="Century Gothic" w:eastAsia="Century Gothic" w:hAnsi="Century Gothic" w:cs="Century Gothic"/>
          <w:b/>
          <w:sz w:val="16"/>
          <w:szCs w:val="16"/>
        </w:rPr>
      </w:pPr>
      <w:r>
        <w:rPr>
          <w:rFonts w:ascii="Century Gothic" w:eastAsia="Century Gothic" w:hAnsi="Century Gothic" w:cs="Century Gothic"/>
          <w:b/>
          <w:sz w:val="16"/>
          <w:szCs w:val="16"/>
        </w:rPr>
        <w:t>Sobre Phenix</w:t>
      </w:r>
    </w:p>
    <w:p w14:paraId="7F79CDB9" w14:textId="77777777" w:rsidR="006D25CA" w:rsidRDefault="006D25CA" w:rsidP="006D25C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Phenix es una empresa certificada B-</w:t>
      </w:r>
      <w:proofErr w:type="spellStart"/>
      <w:r>
        <w:rPr>
          <w:rFonts w:ascii="Century Gothic" w:eastAsia="Century Gothic" w:hAnsi="Century Gothic" w:cs="Century Gothic"/>
          <w:sz w:val="16"/>
          <w:szCs w:val="16"/>
        </w:rPr>
        <w:t>Corp</w:t>
      </w:r>
      <w:proofErr w:type="spellEnd"/>
      <w:r>
        <w:rPr>
          <w:rFonts w:ascii="Century Gothic" w:eastAsia="Century Gothic" w:hAnsi="Century Gothic" w:cs="Century Gothic"/>
          <w:sz w:val="16"/>
          <w:szCs w:val="16"/>
        </w:rPr>
        <w:t xml:space="preserve"> especializada en maximizar el valor del excedente alimentario. A través de asesoramiento experto, tecnología propia y alianzas con comercios y entidades sociales, ayuda a empresas y consumidores a reducir el desperdicio y generar impacto social y ambiental positivo. En España, trabaja con más de 2.000 puntos de venta, incluyendo cadenas como BM Supermercados, Areas Iberia o La Menorquina.</w:t>
      </w:r>
    </w:p>
    <w:p w14:paraId="7ED621C6" w14:textId="77777777" w:rsidR="006D25CA" w:rsidRDefault="006D25CA" w:rsidP="006D25CA">
      <w:pPr>
        <w:spacing w:after="0" w:line="240" w:lineRule="auto"/>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Para más información: </w:t>
      </w:r>
      <w:hyperlink r:id="rId8">
        <w:r>
          <w:rPr>
            <w:rFonts w:ascii="Century Gothic" w:eastAsia="Century Gothic" w:hAnsi="Century Gothic" w:cs="Century Gothic"/>
            <w:i/>
            <w:color w:val="467886"/>
            <w:sz w:val="16"/>
            <w:szCs w:val="16"/>
            <w:u w:val="single"/>
          </w:rPr>
          <w:t>https://www.wearephenix.com/es/</w:t>
        </w:r>
      </w:hyperlink>
    </w:p>
    <w:p w14:paraId="77DA9499" w14:textId="77777777" w:rsidR="006D25CA" w:rsidRDefault="006D25CA" w:rsidP="006D25CA">
      <w:pPr>
        <w:spacing w:after="0" w:line="240" w:lineRule="auto"/>
        <w:jc w:val="both"/>
        <w:rPr>
          <w:rFonts w:ascii="Century Gothic" w:eastAsia="Century Gothic" w:hAnsi="Century Gothic" w:cs="Century Gothic"/>
          <w:i/>
          <w:sz w:val="16"/>
          <w:szCs w:val="16"/>
        </w:rPr>
      </w:pPr>
    </w:p>
    <w:p w14:paraId="1783B289" w14:textId="77777777" w:rsidR="006D25CA" w:rsidRDefault="006D25CA" w:rsidP="006D25CA">
      <w:pPr>
        <w:jc w:val="right"/>
        <w:rPr>
          <w:rFonts w:ascii="Open Sans" w:eastAsia="Open Sans" w:hAnsi="Open Sans" w:cs="Open Sans"/>
          <w:b/>
          <w:sz w:val="16"/>
          <w:szCs w:val="16"/>
        </w:rPr>
      </w:pPr>
      <w:r>
        <w:rPr>
          <w:rFonts w:ascii="Open Sans" w:eastAsia="Open Sans" w:hAnsi="Open Sans" w:cs="Open Sans"/>
          <w:b/>
          <w:sz w:val="16"/>
          <w:szCs w:val="16"/>
        </w:rPr>
        <w:t>Contacto para la prensa:</w:t>
      </w:r>
    </w:p>
    <w:p w14:paraId="3264FC79" w14:textId="77777777" w:rsidR="006D25CA" w:rsidRDefault="006D25CA" w:rsidP="006D25CA">
      <w:pPr>
        <w:spacing w:after="0"/>
        <w:jc w:val="right"/>
        <w:rPr>
          <w:rFonts w:ascii="Open Sans" w:eastAsia="Open Sans" w:hAnsi="Open Sans" w:cs="Open Sans"/>
          <w:sz w:val="16"/>
          <w:szCs w:val="16"/>
        </w:rPr>
      </w:pPr>
      <w:r>
        <w:rPr>
          <w:rFonts w:ascii="Open Sans" w:eastAsia="Open Sans" w:hAnsi="Open Sans" w:cs="Open Sans"/>
          <w:b/>
          <w:sz w:val="16"/>
          <w:szCs w:val="16"/>
        </w:rPr>
        <w:t>Marina Gascón Martínez de Quel</w:t>
      </w:r>
    </w:p>
    <w:p w14:paraId="67368B77" w14:textId="77777777" w:rsidR="006D25CA" w:rsidRDefault="006D25CA" w:rsidP="006D25CA">
      <w:pPr>
        <w:spacing w:after="0"/>
        <w:jc w:val="right"/>
        <w:rPr>
          <w:rFonts w:ascii="Open Sans" w:eastAsia="Open Sans" w:hAnsi="Open Sans" w:cs="Open Sans"/>
          <w:sz w:val="16"/>
          <w:szCs w:val="16"/>
        </w:rPr>
      </w:pPr>
      <w:hyperlink r:id="rId9">
        <w:r>
          <w:rPr>
            <w:rFonts w:ascii="Open Sans" w:eastAsia="Open Sans" w:hAnsi="Open Sans" w:cs="Open Sans"/>
            <w:color w:val="467886"/>
            <w:sz w:val="16"/>
            <w:szCs w:val="16"/>
            <w:u w:val="single"/>
          </w:rPr>
          <w:t>marina.gascon@newlink-group.com</w:t>
        </w:r>
      </w:hyperlink>
    </w:p>
    <w:p w14:paraId="32914872" w14:textId="77777777" w:rsidR="006D25CA" w:rsidRDefault="006D25CA" w:rsidP="006D25CA">
      <w:pPr>
        <w:spacing w:after="0"/>
        <w:jc w:val="right"/>
        <w:rPr>
          <w:rFonts w:ascii="Open Sans" w:eastAsia="Open Sans" w:hAnsi="Open Sans" w:cs="Open Sans"/>
          <w:sz w:val="16"/>
          <w:szCs w:val="16"/>
        </w:rPr>
      </w:pPr>
      <w:r>
        <w:rPr>
          <w:rFonts w:ascii="Open Sans" w:eastAsia="Open Sans" w:hAnsi="Open Sans" w:cs="Open Sans"/>
          <w:sz w:val="16"/>
          <w:szCs w:val="16"/>
        </w:rPr>
        <w:t>+34 651 963 459</w:t>
      </w:r>
    </w:p>
    <w:p w14:paraId="0A950CB1" w14:textId="77777777" w:rsidR="006D25CA" w:rsidRDefault="006D25CA" w:rsidP="006D25CA">
      <w:pPr>
        <w:spacing w:after="0"/>
        <w:jc w:val="right"/>
        <w:rPr>
          <w:rFonts w:ascii="Open Sans" w:eastAsia="Open Sans" w:hAnsi="Open Sans" w:cs="Open Sans"/>
          <w:sz w:val="16"/>
          <w:szCs w:val="16"/>
        </w:rPr>
      </w:pPr>
      <w:r>
        <w:rPr>
          <w:rFonts w:ascii="Open Sans" w:eastAsia="Open Sans" w:hAnsi="Open Sans" w:cs="Open Sans"/>
          <w:sz w:val="16"/>
          <w:szCs w:val="16"/>
        </w:rPr>
        <w:br/>
      </w:r>
      <w:r>
        <w:rPr>
          <w:rFonts w:ascii="Open Sans" w:eastAsia="Open Sans" w:hAnsi="Open Sans" w:cs="Open Sans"/>
          <w:b/>
          <w:sz w:val="16"/>
          <w:szCs w:val="16"/>
        </w:rPr>
        <w:t>María Sánchez-Girón</w:t>
      </w:r>
    </w:p>
    <w:p w14:paraId="13149C86" w14:textId="77777777" w:rsidR="006D25CA" w:rsidRDefault="006D25CA" w:rsidP="006D25CA">
      <w:pPr>
        <w:spacing w:after="0"/>
        <w:jc w:val="right"/>
        <w:rPr>
          <w:rFonts w:ascii="Open Sans" w:eastAsia="Open Sans" w:hAnsi="Open Sans" w:cs="Open Sans"/>
          <w:sz w:val="16"/>
          <w:szCs w:val="16"/>
        </w:rPr>
      </w:pPr>
      <w:hyperlink r:id="rId10">
        <w:r>
          <w:rPr>
            <w:rFonts w:ascii="Open Sans" w:eastAsia="Open Sans" w:hAnsi="Open Sans" w:cs="Open Sans"/>
            <w:color w:val="467886"/>
            <w:sz w:val="16"/>
            <w:szCs w:val="16"/>
            <w:u w:val="single"/>
          </w:rPr>
          <w:t>maria.sanchez-giron@newlink-group.com</w:t>
        </w:r>
      </w:hyperlink>
    </w:p>
    <w:p w14:paraId="6870D4D0" w14:textId="6515C2B9" w:rsidR="000E67AE" w:rsidRPr="006D25CA" w:rsidRDefault="006D25CA" w:rsidP="006D25CA">
      <w:pPr>
        <w:spacing w:after="0"/>
        <w:jc w:val="right"/>
        <w:rPr>
          <w:rFonts w:ascii="Open Sans" w:eastAsia="Open Sans" w:hAnsi="Open Sans" w:cs="Open Sans"/>
          <w:sz w:val="16"/>
          <w:szCs w:val="16"/>
        </w:rPr>
      </w:pPr>
      <w:r>
        <w:rPr>
          <w:rFonts w:ascii="Open Sans" w:eastAsia="Open Sans" w:hAnsi="Open Sans" w:cs="Open Sans"/>
          <w:sz w:val="16"/>
          <w:szCs w:val="16"/>
        </w:rPr>
        <w:t>+34 653 125 545</w:t>
      </w:r>
    </w:p>
    <w:sectPr w:rsidR="000E67AE" w:rsidRPr="006D25C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1942" w14:textId="77777777" w:rsidR="006D25CA" w:rsidRDefault="006D25CA" w:rsidP="006D25CA">
      <w:pPr>
        <w:spacing w:after="0" w:line="240" w:lineRule="auto"/>
      </w:pPr>
      <w:r>
        <w:separator/>
      </w:r>
    </w:p>
  </w:endnote>
  <w:endnote w:type="continuationSeparator" w:id="0">
    <w:p w14:paraId="53A3BD38" w14:textId="77777777" w:rsidR="006D25CA" w:rsidRDefault="006D25CA" w:rsidP="006D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C657" w14:textId="77777777" w:rsidR="006D25CA" w:rsidRDefault="006D25CA" w:rsidP="006D25CA">
      <w:pPr>
        <w:spacing w:after="0" w:line="240" w:lineRule="auto"/>
      </w:pPr>
      <w:r>
        <w:separator/>
      </w:r>
    </w:p>
  </w:footnote>
  <w:footnote w:type="continuationSeparator" w:id="0">
    <w:p w14:paraId="5E9A110F" w14:textId="77777777" w:rsidR="006D25CA" w:rsidRDefault="006D25CA" w:rsidP="006D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1B3F" w14:textId="4EAB1252" w:rsidR="006D25CA" w:rsidRDefault="006D25CA" w:rsidP="006D25CA">
    <w:pPr>
      <w:pStyle w:val="Encabezado"/>
      <w:jc w:val="center"/>
    </w:pPr>
    <w:r>
      <w:rPr>
        <w:rFonts w:ascii="Calibri" w:hAnsi="Calibri" w:cs="Calibri"/>
        <w:noProof/>
        <w:color w:val="000000"/>
        <w:sz w:val="22"/>
        <w:szCs w:val="22"/>
        <w:bdr w:val="none" w:sz="0" w:space="0" w:color="auto" w:frame="1"/>
      </w:rPr>
      <w:drawing>
        <wp:inline distT="0" distB="0" distL="0" distR="0" wp14:anchorId="13EAC229" wp14:editId="302767BA">
          <wp:extent cx="1577340" cy="617220"/>
          <wp:effectExtent l="0" t="0" r="3810" b="0"/>
          <wp:docPr id="1410965929"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0B96"/>
    <w:multiLevelType w:val="multilevel"/>
    <w:tmpl w:val="759E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27D33"/>
    <w:multiLevelType w:val="multilevel"/>
    <w:tmpl w:val="D168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E342E"/>
    <w:multiLevelType w:val="hybridMultilevel"/>
    <w:tmpl w:val="23AC0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D427B9"/>
    <w:multiLevelType w:val="multilevel"/>
    <w:tmpl w:val="165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E016B"/>
    <w:multiLevelType w:val="multilevel"/>
    <w:tmpl w:val="0476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83031"/>
    <w:multiLevelType w:val="multilevel"/>
    <w:tmpl w:val="EF94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20736"/>
    <w:multiLevelType w:val="multilevel"/>
    <w:tmpl w:val="A7A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F670C"/>
    <w:multiLevelType w:val="multilevel"/>
    <w:tmpl w:val="F9F8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9606BB"/>
    <w:multiLevelType w:val="multilevel"/>
    <w:tmpl w:val="D5C8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032D9"/>
    <w:multiLevelType w:val="multilevel"/>
    <w:tmpl w:val="BF54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3E6E71"/>
    <w:multiLevelType w:val="multilevel"/>
    <w:tmpl w:val="583E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E16219"/>
    <w:multiLevelType w:val="multilevel"/>
    <w:tmpl w:val="2FA6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561552">
    <w:abstractNumId w:val="10"/>
  </w:num>
  <w:num w:numId="2" w16cid:durableId="1510414017">
    <w:abstractNumId w:val="9"/>
  </w:num>
  <w:num w:numId="3" w16cid:durableId="1075132911">
    <w:abstractNumId w:val="5"/>
  </w:num>
  <w:num w:numId="4" w16cid:durableId="1918123595">
    <w:abstractNumId w:val="11"/>
  </w:num>
  <w:num w:numId="5" w16cid:durableId="337079429">
    <w:abstractNumId w:val="6"/>
  </w:num>
  <w:num w:numId="6" w16cid:durableId="4216458">
    <w:abstractNumId w:val="7"/>
  </w:num>
  <w:num w:numId="7" w16cid:durableId="330834720">
    <w:abstractNumId w:val="2"/>
  </w:num>
  <w:num w:numId="8" w16cid:durableId="1909802661">
    <w:abstractNumId w:val="0"/>
  </w:num>
  <w:num w:numId="9" w16cid:durableId="2083138746">
    <w:abstractNumId w:val="4"/>
  </w:num>
  <w:num w:numId="10" w16cid:durableId="1122575487">
    <w:abstractNumId w:val="1"/>
  </w:num>
  <w:num w:numId="11" w16cid:durableId="2057780082">
    <w:abstractNumId w:val="8"/>
  </w:num>
  <w:num w:numId="12" w16cid:durableId="1482967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CA"/>
    <w:rsid w:val="00077469"/>
    <w:rsid w:val="000E67AE"/>
    <w:rsid w:val="00101086"/>
    <w:rsid w:val="00121079"/>
    <w:rsid w:val="002614FD"/>
    <w:rsid w:val="00262320"/>
    <w:rsid w:val="002A555F"/>
    <w:rsid w:val="0030379B"/>
    <w:rsid w:val="00321DED"/>
    <w:rsid w:val="003279A1"/>
    <w:rsid w:val="004156A4"/>
    <w:rsid w:val="004512DB"/>
    <w:rsid w:val="00477D41"/>
    <w:rsid w:val="004D6D73"/>
    <w:rsid w:val="00525EC1"/>
    <w:rsid w:val="00540ACA"/>
    <w:rsid w:val="00543C99"/>
    <w:rsid w:val="005E2480"/>
    <w:rsid w:val="006D25CA"/>
    <w:rsid w:val="006F2B19"/>
    <w:rsid w:val="0082665B"/>
    <w:rsid w:val="00836CFE"/>
    <w:rsid w:val="00900FF6"/>
    <w:rsid w:val="009020B1"/>
    <w:rsid w:val="009949D4"/>
    <w:rsid w:val="009A08A9"/>
    <w:rsid w:val="009E7AE8"/>
    <w:rsid w:val="00A66649"/>
    <w:rsid w:val="00A87DD7"/>
    <w:rsid w:val="00BF2844"/>
    <w:rsid w:val="00C32515"/>
    <w:rsid w:val="00C41013"/>
    <w:rsid w:val="00C9471C"/>
    <w:rsid w:val="00D420EB"/>
    <w:rsid w:val="00DE359C"/>
    <w:rsid w:val="00E256F1"/>
    <w:rsid w:val="00E51616"/>
    <w:rsid w:val="00EA3CC1"/>
    <w:rsid w:val="00EB6489"/>
    <w:rsid w:val="00EE50C8"/>
    <w:rsid w:val="00FE62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FCA4"/>
  <w15:chartTrackingRefBased/>
  <w15:docId w15:val="{6D8A1961-7007-45E5-A8AA-36B827FE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CA"/>
    <w:rPr>
      <w:rFonts w:ascii="Aptos" w:eastAsia="Aptos" w:hAnsi="Aptos" w:cs="Aptos"/>
      <w:kern w:val="0"/>
      <w:lang w:val="es" w:eastAsia="es-ES"/>
      <w14:ligatures w14:val="none"/>
    </w:rPr>
  </w:style>
  <w:style w:type="paragraph" w:styleId="Ttulo1">
    <w:name w:val="heading 1"/>
    <w:basedOn w:val="Normal"/>
    <w:next w:val="Normal"/>
    <w:link w:val="Ttulo1Car"/>
    <w:uiPriority w:val="9"/>
    <w:qFormat/>
    <w:rsid w:val="006D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25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25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25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25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25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25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25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25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25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25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25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25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25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25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25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25CA"/>
    <w:rPr>
      <w:rFonts w:eastAsiaTheme="majorEastAsia" w:cstheme="majorBidi"/>
      <w:color w:val="272727" w:themeColor="text1" w:themeTint="D8"/>
    </w:rPr>
  </w:style>
  <w:style w:type="paragraph" w:styleId="Ttulo">
    <w:name w:val="Title"/>
    <w:basedOn w:val="Normal"/>
    <w:next w:val="Normal"/>
    <w:link w:val="TtuloCar"/>
    <w:uiPriority w:val="10"/>
    <w:qFormat/>
    <w:rsid w:val="006D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25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25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25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25CA"/>
    <w:pPr>
      <w:spacing w:before="160"/>
      <w:jc w:val="center"/>
    </w:pPr>
    <w:rPr>
      <w:i/>
      <w:iCs/>
      <w:color w:val="404040" w:themeColor="text1" w:themeTint="BF"/>
    </w:rPr>
  </w:style>
  <w:style w:type="character" w:customStyle="1" w:styleId="CitaCar">
    <w:name w:val="Cita Car"/>
    <w:basedOn w:val="Fuentedeprrafopredeter"/>
    <w:link w:val="Cita"/>
    <w:uiPriority w:val="29"/>
    <w:rsid w:val="006D25CA"/>
    <w:rPr>
      <w:i/>
      <w:iCs/>
      <w:color w:val="404040" w:themeColor="text1" w:themeTint="BF"/>
    </w:rPr>
  </w:style>
  <w:style w:type="paragraph" w:styleId="Prrafodelista">
    <w:name w:val="List Paragraph"/>
    <w:basedOn w:val="Normal"/>
    <w:uiPriority w:val="34"/>
    <w:qFormat/>
    <w:rsid w:val="006D25CA"/>
    <w:pPr>
      <w:ind w:left="720"/>
      <w:contextualSpacing/>
    </w:pPr>
  </w:style>
  <w:style w:type="character" w:styleId="nfasisintenso">
    <w:name w:val="Intense Emphasis"/>
    <w:basedOn w:val="Fuentedeprrafopredeter"/>
    <w:uiPriority w:val="21"/>
    <w:qFormat/>
    <w:rsid w:val="006D25CA"/>
    <w:rPr>
      <w:i/>
      <w:iCs/>
      <w:color w:val="0F4761" w:themeColor="accent1" w:themeShade="BF"/>
    </w:rPr>
  </w:style>
  <w:style w:type="paragraph" w:styleId="Citadestacada">
    <w:name w:val="Intense Quote"/>
    <w:basedOn w:val="Normal"/>
    <w:next w:val="Normal"/>
    <w:link w:val="CitadestacadaCar"/>
    <w:uiPriority w:val="30"/>
    <w:qFormat/>
    <w:rsid w:val="006D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25CA"/>
    <w:rPr>
      <w:i/>
      <w:iCs/>
      <w:color w:val="0F4761" w:themeColor="accent1" w:themeShade="BF"/>
    </w:rPr>
  </w:style>
  <w:style w:type="character" w:styleId="Referenciaintensa">
    <w:name w:val="Intense Reference"/>
    <w:basedOn w:val="Fuentedeprrafopredeter"/>
    <w:uiPriority w:val="32"/>
    <w:qFormat/>
    <w:rsid w:val="006D25CA"/>
    <w:rPr>
      <w:b/>
      <w:bCs/>
      <w:smallCaps/>
      <w:color w:val="0F4761" w:themeColor="accent1" w:themeShade="BF"/>
      <w:spacing w:val="5"/>
    </w:rPr>
  </w:style>
  <w:style w:type="paragraph" w:styleId="Encabezado">
    <w:name w:val="header"/>
    <w:basedOn w:val="Normal"/>
    <w:link w:val="EncabezadoCar"/>
    <w:uiPriority w:val="99"/>
    <w:unhideWhenUsed/>
    <w:rsid w:val="006D25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25CA"/>
  </w:style>
  <w:style w:type="paragraph" w:styleId="Piedepgina">
    <w:name w:val="footer"/>
    <w:basedOn w:val="Normal"/>
    <w:link w:val="PiedepginaCar"/>
    <w:uiPriority w:val="99"/>
    <w:unhideWhenUsed/>
    <w:rsid w:val="006D25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25CA"/>
  </w:style>
  <w:style w:type="character" w:styleId="Hipervnculo">
    <w:name w:val="Hyperlink"/>
    <w:basedOn w:val="Fuentedeprrafopredeter"/>
    <w:uiPriority w:val="99"/>
    <w:unhideWhenUsed/>
    <w:rsid w:val="006D25CA"/>
    <w:rPr>
      <w:color w:val="467886" w:themeColor="hyperlink"/>
      <w:u w:val="single"/>
    </w:rPr>
  </w:style>
  <w:style w:type="paragraph" w:styleId="NormalWeb">
    <w:name w:val="Normal (Web)"/>
    <w:basedOn w:val="Normal"/>
    <w:uiPriority w:val="99"/>
    <w:unhideWhenUsed/>
    <w:rsid w:val="006D25CA"/>
    <w:pPr>
      <w:spacing w:before="100" w:beforeAutospacing="1" w:after="100" w:afterAutospacing="1" w:line="240" w:lineRule="auto"/>
    </w:pPr>
    <w:rPr>
      <w:rFonts w:ascii="Times New Roman" w:eastAsia="Times New Roman" w:hAnsi="Times New Roman" w:cs="Times New Roman"/>
      <w:lang w:val="es-ES"/>
    </w:rPr>
  </w:style>
  <w:style w:type="character" w:styleId="Mencinsinresolver">
    <w:name w:val="Unresolved Mention"/>
    <w:basedOn w:val="Fuentedeprrafopredeter"/>
    <w:uiPriority w:val="99"/>
    <w:semiHidden/>
    <w:unhideWhenUsed/>
    <w:rsid w:val="006D25CA"/>
    <w:rPr>
      <w:color w:val="605E5C"/>
      <w:shd w:val="clear" w:color="auto" w:fill="E1DFDD"/>
    </w:rPr>
  </w:style>
  <w:style w:type="character" w:styleId="Textoennegrita">
    <w:name w:val="Strong"/>
    <w:basedOn w:val="Fuentedeprrafopredeter"/>
    <w:uiPriority w:val="22"/>
    <w:qFormat/>
    <w:rsid w:val="00836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phenix.co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arephenix.co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ia.sanchez-giron@newlink-group.com" TargetMode="External"/><Relationship Id="rId4" Type="http://schemas.openxmlformats.org/officeDocument/2006/relationships/webSettings" Target="webSettings.xml"/><Relationship Id="rId9" Type="http://schemas.openxmlformats.org/officeDocument/2006/relationships/hyperlink" Target="mailto:marina.gascon@newlink-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710</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Victoria Dos Reis</dc:creator>
  <cp:keywords/>
  <dc:description/>
  <cp:lastModifiedBy>María Sánchez-Girón</cp:lastModifiedBy>
  <cp:revision>33</cp:revision>
  <dcterms:created xsi:type="dcterms:W3CDTF">2025-09-02T15:47:00Z</dcterms:created>
  <dcterms:modified xsi:type="dcterms:W3CDTF">2025-09-23T07:14:00Z</dcterms:modified>
</cp:coreProperties>
</file>