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ind w:right="-267"/>
        <w:jc w:val="center"/>
        <w:rPr>
          <w:rFonts w:ascii="Montserrat" w:cs="Montserrat" w:eastAsia="Montserrat" w:hAnsi="Montserrat"/>
          <w:b w:val="1"/>
          <w:color w:val="e30513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32"/>
          <w:szCs w:val="32"/>
          <w:rtl w:val="0"/>
        </w:rPr>
        <w:t xml:space="preserve">Dia y Affinity impulsan la sostenibilidad en su cadena de suministro gracias al transporte colaborativo de CHEP</w:t>
      </w:r>
    </w:p>
    <w:p w:rsidR="00000000" w:rsidDel="00000000" w:rsidP="00000000" w:rsidRDefault="00000000" w:rsidRPr="00000000" w14:paraId="00000002">
      <w:pPr>
        <w:spacing w:line="276" w:lineRule="auto"/>
        <w:ind w:right="163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2"/>
          <w:szCs w:val="22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La colaboración entre ambas compañías evita kilómetros en vacío y reduce las emisiones de CO₂ mediante el uso de vehículos Duotrailer y combustible HVO.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Barcelona, 6 de noviembre de 2025.-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La red líder de supermercados de proximidad</w:t>
      </w:r>
      <w:r w:rsidDel="00000000" w:rsidR="00000000" w:rsidRPr="00000000">
        <w:rPr>
          <w:rFonts w:ascii="Montserrat" w:cs="Montserrat" w:eastAsia="Montserrat" w:hAnsi="Montserrat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Dia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y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Affinity Petcare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, empresa líder en alimentos para perros y gatos en Europa, han puesto en marcha un innovador proyecto de transporte colaborativo en el marco del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programa AirShared, liderado por CHEP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, proveedor de soluciones sostenibles para la cadena de suministro.</w:t>
      </w:r>
    </w:p>
    <w:p w:rsidR="00000000" w:rsidDel="00000000" w:rsidP="00000000" w:rsidRDefault="00000000" w:rsidRPr="00000000" w14:paraId="00000006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El objetivo de la iniciativa es optimizar los flujos logísticos y reducir el impacto ambiental del transporte de mercancías. Para ello, Dia y Affinity Petcare han cerrado un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circuito de transporte colaborativo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entre la plataforma logística de Dia en Illescas (Toledo) y sus plataformas regionales de Cataluña, con el almacén central de Affinity Petcare en La Bisbal del Penedès (Tarragona).</w:t>
      </w:r>
    </w:p>
    <w:p w:rsidR="00000000" w:rsidDel="00000000" w:rsidP="00000000" w:rsidRDefault="00000000" w:rsidRPr="00000000" w14:paraId="00000008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Gracias al uso de un vehículo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Duotrailer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, operado por la empresa logística ATDL, ambas compañías han conseguido duplicar la capacidad de carga respecto a un camión convencional, lo que se traduce en un ahorro anual inicial de 71 toneladas de CO₂.</w:t>
      </w:r>
    </w:p>
    <w:p w:rsidR="00000000" w:rsidDel="00000000" w:rsidP="00000000" w:rsidRDefault="00000000" w:rsidRPr="00000000" w14:paraId="0000000A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Como paso adicional, el proyecto incorpora el uso de combustible HVO (aceite vegetal hidrotratado) en el vehículo destinado a este circuito, logrando un ahorro adicional estimado de 138 toneladas de CO₂ al año.</w:t>
      </w:r>
    </w:p>
    <w:p w:rsidR="00000000" w:rsidDel="00000000" w:rsidP="00000000" w:rsidRDefault="00000000" w:rsidRPr="00000000" w14:paraId="0000000C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“Dentro de nuestro Road Map de sostenibilidad, el uso de vehículos de alta capacidad y combustibles de bajas emisiones son pilares clave de nuestra estrategia para reducir el impacto ambiental. Lo más destacable de esta iniciativa ha sido la colaboración y la confianza mutua con un cliente del nivel de Dia, en un entorno seguro y transparente facilitado por CHEP”, afirma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Rafael Martínez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, responsable de Supply Chain de Affinity para el Sur de Europa. “Este enfoque nos ha permitido construir una cadena de suministro más eficiente, robusta y respetuosa con el medioambiente”, añade.</w:t>
      </w:r>
    </w:p>
    <w:p w:rsidR="00000000" w:rsidDel="00000000" w:rsidP="00000000" w:rsidRDefault="00000000" w:rsidRPr="00000000" w14:paraId="0000000E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“En nuestro Plan de Sostenibilidad, establecemos tanto los objetivos y metas como la hoja de ruta para avanzar en la descarbonización de nuestras operaciones y de nuestra cadena de valor. Entre otras iniciativas, Dia apuesta por la progresiva incorporación de flotas de bajas emisiones  como los primeros vehículos eléctricos para  larga distancia, rutas compartidas y proyectos colaborativos para la optimización de cargas y rutas” señala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Pedro Gallego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, director de Transportes de Dia España. </w:t>
      </w:r>
    </w:p>
    <w:p w:rsidR="00000000" w:rsidDel="00000000" w:rsidP="00000000" w:rsidRDefault="00000000" w:rsidRPr="00000000" w14:paraId="00000010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Por su parte,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Yolanda Muñoz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, responsable de Transporte y Logística de Iberia en Affinity Petcare, destaca que: “En un contexto donde todas las empresas afrontamos objetivos ambiciosos de reducción de huella de carbono y un mercado logístico con escasez de conductores, iniciativas como esta - basadas en la colaboración entre fabricantes y distribuidores - marcan el camino a seguir”.</w:t>
      </w:r>
    </w:p>
    <w:p w:rsidR="00000000" w:rsidDel="00000000" w:rsidP="00000000" w:rsidRDefault="00000000" w:rsidRPr="00000000" w14:paraId="00000012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i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Con esta alianza, Dia, Affinity Petcare y CHEP demuestran que la colaboración y la innovación logística son herramientas clave para avanzar hacia una cadena de suministro más sostenible y alineada con los retos ambientales actuales.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="276" w:lineRule="auto"/>
        <w:jc w:val="both"/>
        <w:rPr>
          <w:rFonts w:ascii="Roboto" w:cs="Roboto" w:eastAsia="Roboto" w:hAnsi="Roboto"/>
          <w:b w:val="1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60" w:before="0" w:line="240" w:lineRule="auto"/>
        <w:jc w:val="both"/>
        <w:rPr>
          <w:rFonts w:ascii="Montserrat" w:cs="Montserrat" w:eastAsia="Montserrat" w:hAnsi="Montserrat"/>
          <w:b w:val="1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18"/>
          <w:szCs w:val="18"/>
          <w:highlight w:val="white"/>
          <w:rtl w:val="0"/>
        </w:rPr>
        <w:t xml:space="preserve">Sobre Grupo Dia</w:t>
      </w:r>
    </w:p>
    <w:p w:rsidR="00000000" w:rsidDel="00000000" w:rsidP="00000000" w:rsidRDefault="00000000" w:rsidRPr="00000000" w14:paraId="00000016">
      <w:pPr>
        <w:spacing w:after="60" w:before="0" w:line="240" w:lineRule="auto"/>
        <w:jc w:val="both"/>
        <w:rPr>
          <w:rFonts w:ascii="Montserrat" w:cs="Montserrat" w:eastAsia="Montserrat" w:hAnsi="Montserrat"/>
          <w:b w:val="1"/>
          <w:color w:val="ff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18"/>
          <w:szCs w:val="18"/>
          <w:highlight w:val="white"/>
          <w:rtl w:val="0"/>
        </w:rPr>
        <w:t xml:space="preserve">Cada día más cerca</w:t>
      </w:r>
    </w:p>
    <w:p w:rsidR="00000000" w:rsidDel="00000000" w:rsidP="00000000" w:rsidRDefault="00000000" w:rsidRPr="00000000" w14:paraId="00000017">
      <w:pPr>
        <w:spacing w:after="0" w:before="0" w:line="240" w:lineRule="auto"/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Somos Grupo Dia, la red líder de tiendas de proximidad con más de 3.300 establecimientos en España y Argentina. Somos la tienda del barrio, la que facilita una experiencia de compra fácil, rápida y completa, cerca de casa y con productos de la máxima calidad a un precio asequible, tanto en nuestras tiendas físicas como en nuestro canal online.</w:t>
      </w:r>
    </w:p>
    <w:p w:rsidR="00000000" w:rsidDel="00000000" w:rsidP="00000000" w:rsidRDefault="00000000" w:rsidRPr="00000000" w14:paraId="00000018">
      <w:pPr>
        <w:spacing w:after="0" w:before="0" w:line="240" w:lineRule="auto"/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240" w:lineRule="auto"/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la máxima calidad al alcance de todos. Juntos, hemos construido una compañía que cotiza en la bolsa de España desde 2011 y que logró una facturación de 6.901 millones en 2024. Somos una de las 100 empresas con mejor reputación en España y Argentina según el monitor empresarial MERCO. Además, nos hemos posicionado como la primera franquiciadora en España y la única en el sector de los supermercados con Certificación FRANQ en Argentina.</w:t>
      </w:r>
    </w:p>
    <w:p w:rsidR="00000000" w:rsidDel="00000000" w:rsidP="00000000" w:rsidRDefault="00000000" w:rsidRPr="00000000" w14:paraId="0000001A">
      <w:pPr>
        <w:spacing w:after="0" w:before="0" w:line="240" w:lineRule="auto"/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40" w:lineRule="auto"/>
        <w:jc w:val="both"/>
        <w:rPr>
          <w:rFonts w:ascii="Roboto" w:cs="Roboto" w:eastAsia="Roboto" w:hAnsi="Roboto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</w:t>
      </w:r>
      <w:r w:rsidDel="00000000" w:rsidR="00000000" w:rsidRPr="00000000">
        <w:rPr>
          <w:rFonts w:ascii="Roboto" w:cs="Roboto" w:eastAsia="Roboto" w:hAnsi="Roboto"/>
          <w:color w:val="222222"/>
          <w:sz w:val="16"/>
          <w:szCs w:val="1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pacing w:after="240" w:before="240" w:line="276" w:lineRule="auto"/>
        <w:jc w:val="center"/>
        <w:rPr>
          <w:rFonts w:ascii="Montserrat" w:cs="Montserrat" w:eastAsia="Montserrat" w:hAnsi="Montserrat"/>
          <w:color w:val="1155cc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16"/>
          <w:szCs w:val="16"/>
          <w:highlight w:val="white"/>
          <w:rtl w:val="0"/>
        </w:rPr>
        <w:t xml:space="preserve">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https://diacorporate.com/</w:t>
        </w:r>
      </w:hyperlink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16"/>
          <w:szCs w:val="16"/>
          <w:highlight w:val="white"/>
          <w:rtl w:val="0"/>
        </w:rPr>
        <w:t xml:space="preserve">             </w:t>
        <w:tab/>
        <w:t xml:space="preserve">#CadaDíaMásCerca 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                           </w:t>
        <w:tab/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16"/>
          <w:szCs w:val="16"/>
          <w:highlight w:val="white"/>
          <w:rtl w:val="0"/>
        </w:rPr>
        <w:t xml:space="preserve">Linkedin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: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222222"/>
            <w:sz w:val="16"/>
            <w:szCs w:val="16"/>
            <w:highlight w:val="white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Grupo Dia</w:t>
        </w:r>
      </w:hyperlink>
      <w:r w:rsidDel="00000000" w:rsidR="00000000" w:rsidRPr="00000000">
        <w:rPr>
          <w:rFonts w:ascii="Montserrat" w:cs="Montserrat" w:eastAsia="Montserrat" w:hAnsi="Montserrat"/>
          <w:color w:val="1155cc"/>
          <w:sz w:val="16"/>
          <w:szCs w:val="16"/>
          <w:highlight w:val="white"/>
          <w:rtl w:val="0"/>
        </w:rPr>
        <w:t xml:space="preserve">         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        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  <w:rtl w:val="0"/>
        </w:rPr>
        <w:t xml:space="preserve">Para más información: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 Medium" w:cs="Montserrat Medium" w:eastAsia="Montserrat Medium" w:hAnsi="Montserrat Medium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2629853</wp:posOffset>
                </wp:positionH>
                <wp:positionV relativeFrom="paragraph">
                  <wp:posOffset>85725</wp:posOffset>
                </wp:positionV>
                <wp:extent cx="2856548" cy="809658"/>
                <wp:effectExtent b="0" l="0" r="0" t="0"/>
                <wp:wrapNone/>
                <wp:docPr id="207456151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60528" y="3411700"/>
                          <a:ext cx="277094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Comunicación Dia España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ontserrat Light" w:cs="Montserrat Light" w:eastAsia="Montserrat Light" w:hAnsi="Montserrat Ligh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  <w:t xml:space="preserve">comunicacion@diagroup.com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Light" w:cs="Montserrat Light" w:eastAsia="Montserrat Light" w:hAnsi="Montserrat Ligh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2629853</wp:posOffset>
                </wp:positionH>
                <wp:positionV relativeFrom="paragraph">
                  <wp:posOffset>85725</wp:posOffset>
                </wp:positionV>
                <wp:extent cx="2856548" cy="809658"/>
                <wp:effectExtent b="0" l="0" r="0" t="0"/>
                <wp:wrapNone/>
                <wp:docPr id="207456151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6548" cy="809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spacing w:after="120" w:lineRule="auto"/>
        <w:rPr>
          <w:rFonts w:ascii="Montserrat Medium" w:cs="Montserrat Medium" w:eastAsia="Montserrat Medium" w:hAnsi="Montserrat Medium"/>
          <w:b w:val="1"/>
          <w:color w:val="000000"/>
          <w:sz w:val="16"/>
          <w:szCs w:val="16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16"/>
          <w:szCs w:val="16"/>
          <w:rtl w:val="0"/>
        </w:rPr>
        <w:t xml:space="preserve">Dia España</w:t>
      </w:r>
    </w:p>
    <w:p w:rsidR="00000000" w:rsidDel="00000000" w:rsidP="00000000" w:rsidRDefault="00000000" w:rsidRPr="00000000" w14:paraId="00000022">
      <w:pPr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Fonts w:ascii="Montserrat Light" w:cs="Montserrat Light" w:eastAsia="Montserrat Light" w:hAnsi="Montserrat Light"/>
          <w:sz w:val="16"/>
          <w:szCs w:val="16"/>
          <w:rtl w:val="0"/>
        </w:rPr>
        <w:t xml:space="preserve">Raquel González</w:t>
      </w:r>
    </w:p>
    <w:p w:rsidR="00000000" w:rsidDel="00000000" w:rsidP="00000000" w:rsidRDefault="00000000" w:rsidRPr="00000000" w14:paraId="00000023">
      <w:pPr>
        <w:rPr>
          <w:rFonts w:ascii="Montserrat Light" w:cs="Montserrat Light" w:eastAsia="Montserrat Light" w:hAnsi="Montserrat Light"/>
          <w:sz w:val="16"/>
          <w:szCs w:val="16"/>
        </w:rPr>
      </w:pPr>
      <w:hyperlink r:id="rId11">
        <w:r w:rsidDel="00000000" w:rsidR="00000000" w:rsidRPr="00000000">
          <w:rPr>
            <w:rFonts w:ascii="Montserrat Light" w:cs="Montserrat Light" w:eastAsia="Montserrat Light" w:hAnsi="Montserrat Light"/>
            <w:color w:val="0000ff"/>
            <w:sz w:val="16"/>
            <w:szCs w:val="16"/>
            <w:u w:val="single"/>
            <w:rtl w:val="0"/>
          </w:rPr>
          <w:t xml:space="preserve">raquel.gonzalez.rodriguez@diagroup.com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 Light" w:cs="Montserrat Light" w:eastAsia="Montserrat Light" w:hAnsi="Montserrat Light"/>
          <w:color w:val="000000"/>
          <w:sz w:val="16"/>
          <w:szCs w:val="16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000"/>
          <w:sz w:val="16"/>
          <w:szCs w:val="16"/>
          <w:rtl w:val="0"/>
        </w:rPr>
        <w:t xml:space="preserve">+34 655712890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259" w:lineRule="auto"/>
        <w:jc w:val="both"/>
        <w:rPr>
          <w:rFonts w:ascii="Quattrocento Sans" w:cs="Quattrocento Sans" w:eastAsia="Quattrocento Sans" w:hAnsi="Quattrocento Sans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60" w:line="259" w:lineRule="auto"/>
        <w:jc w:val="both"/>
        <w:rPr>
          <w:rFonts w:ascii="Quattrocento Sans" w:cs="Quattrocento Sans" w:eastAsia="Quattrocento Sans" w:hAnsi="Quattrocento Sans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60" w:line="259" w:lineRule="auto"/>
        <w:jc w:val="both"/>
        <w:rPr>
          <w:rFonts w:ascii="Quattrocento Sans" w:cs="Quattrocento Sans" w:eastAsia="Quattrocento Sans" w:hAnsi="Quattrocento Sans"/>
          <w:b w:val="1"/>
          <w:sz w:val="20"/>
          <w:szCs w:val="20"/>
          <w:u w:val="singl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z w:val="20"/>
          <w:szCs w:val="20"/>
          <w:u w:val="single"/>
          <w:rtl w:val="0"/>
        </w:rPr>
        <w:t xml:space="preserve">Sobre Affinity Petcare</w:t>
      </w:r>
    </w:p>
    <w:p w:rsidR="00000000" w:rsidDel="00000000" w:rsidP="00000000" w:rsidRDefault="00000000" w:rsidRPr="00000000" w14:paraId="0000002A">
      <w:pPr>
        <w:spacing w:after="160" w:line="259" w:lineRule="auto"/>
        <w:jc w:val="both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Affinity Petcare es la empresa líder en alimentos para perros y gatos en España, con 50 años de experiencia en el sector de la nutrición animal. Affinity comercializa una amplia gama de productos bajo marcas líderes como Advance, ultima y Brekkies. Affinity Petcare pertenece a Agrolimen uno de los grupos empresariales más importantes en España, especializado en productos de gran consumo en los sectores de petfoods, alimentación y restauración, con marcas líderes en cada segmento.  </w:t>
      </w:r>
    </w:p>
    <w:p w:rsidR="00000000" w:rsidDel="00000000" w:rsidP="00000000" w:rsidRDefault="00000000" w:rsidRPr="00000000" w14:paraId="0000002B">
      <w:pPr>
        <w:spacing w:after="160" w:line="259" w:lineRule="auto"/>
        <w:jc w:val="both"/>
        <w:rPr>
          <w:rFonts w:ascii="Quattrocento Sans" w:cs="Quattrocento Sans" w:eastAsia="Quattrocento Sans" w:hAnsi="Quattrocento Sans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60" w:line="259" w:lineRule="auto"/>
        <w:jc w:val="both"/>
        <w:rPr>
          <w:rFonts w:ascii="Quattrocento Sans" w:cs="Quattrocento Sans" w:eastAsia="Quattrocento Sans" w:hAnsi="Quattrocento Sans"/>
          <w:b w:val="1"/>
          <w:sz w:val="20"/>
          <w:szCs w:val="20"/>
          <w:u w:val="singl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z w:val="20"/>
          <w:szCs w:val="20"/>
          <w:u w:val="single"/>
          <w:rtl w:val="0"/>
        </w:rPr>
        <w:t xml:space="preserve">SobreCHEP</w:t>
      </w:r>
    </w:p>
    <w:p w:rsidR="00000000" w:rsidDel="00000000" w:rsidP="00000000" w:rsidRDefault="00000000" w:rsidRPr="00000000" w14:paraId="0000002D">
      <w:pPr>
        <w:spacing w:after="160" w:line="259" w:lineRule="auto"/>
        <w:jc w:val="both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CHEP es líder mundial en soluciones para la cadena de suministro. Junto con productores, fabricantes, minoristas y socios logísticos, CHEP promueve el movimiento inteligente y sostenible de mercancías en más de 60 países.  </w:t>
      </w:r>
    </w:p>
    <w:p w:rsidR="00000000" w:rsidDel="00000000" w:rsidP="00000000" w:rsidRDefault="00000000" w:rsidRPr="00000000" w14:paraId="0000002E">
      <w:pPr>
        <w:spacing w:after="160" w:line="259" w:lineRule="auto"/>
        <w:jc w:val="both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Gracias a su red de intercambio, reparación y reutilización de palés, cajas y contenedores conectados, CHEP ayuda a las empresas a optimizar sus cadenas de suministro para reducir costes y minimizar el impacto medioambiental de sus operaciones.  </w:t>
      </w:r>
    </w:p>
    <w:p w:rsidR="00000000" w:rsidDel="00000000" w:rsidP="00000000" w:rsidRDefault="00000000" w:rsidRPr="00000000" w14:paraId="0000002F">
      <w:pPr>
        <w:spacing w:after="160" w:line="259" w:lineRule="auto"/>
        <w:jc w:val="both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CHEP combina su liderazgo en circularidad, que ayuda a abordar las emisiones, los residuos y los envases de un solo uso, con un enfoque en la resiliencia, para construir redes de suministro preparadas para el futuro a través de datos, escala y colaboración. </w:t>
      </w:r>
    </w:p>
    <w:p w:rsidR="00000000" w:rsidDel="00000000" w:rsidP="00000000" w:rsidRDefault="00000000" w:rsidRPr="00000000" w14:paraId="00000030">
      <w:pPr>
        <w:spacing w:after="160" w:line="259" w:lineRule="auto"/>
        <w:jc w:val="both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Con su excelencia operativa en la que confían las principales marcas del mundo, CHEP atiende principalmente a clientes de los sectores de productos básicos de consumo (p. ej. alimentos secos, productos comestibles, productos para el hogar, salud y cuidado personal, productos frescos y bebidas), comercio minorista, automoción y fabricación en general. </w:t>
      </w:r>
    </w:p>
    <w:p w:rsidR="00000000" w:rsidDel="00000000" w:rsidP="00000000" w:rsidRDefault="00000000" w:rsidRPr="00000000" w14:paraId="00000031">
      <w:pPr>
        <w:spacing w:after="160" w:line="259" w:lineRule="auto"/>
        <w:jc w:val="both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Como parte del grupo Brambles, CHEP gestiona aproximadamente unos 347 millones de palés y contenedores a través de una red de más de 750 centros de servicio y da empleo a unas 11.000 personas en todo el mundo, con sus mayores operaciones en Norteamérica y Europa. </w:t>
      </w:r>
    </w:p>
    <w:p w:rsidR="00000000" w:rsidDel="00000000" w:rsidP="00000000" w:rsidRDefault="00000000" w:rsidRPr="00000000" w14:paraId="00000032">
      <w:pPr>
        <w:spacing w:after="160" w:line="259" w:lineRule="auto"/>
        <w:jc w:val="both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Quattrocento Sa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2300289</wp:posOffset>
              </wp:positionH>
              <wp:positionV relativeFrom="paragraph">
                <wp:posOffset>26988</wp:posOffset>
              </wp:positionV>
              <wp:extent cx="1184275" cy="356235"/>
              <wp:effectExtent b="0" l="0" r="0" t="0"/>
              <wp:wrapNone/>
              <wp:docPr id="207456151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Dia España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2300289</wp:posOffset>
              </wp:positionH>
              <wp:positionV relativeFrom="paragraph">
                <wp:posOffset>26988</wp:posOffset>
              </wp:positionV>
              <wp:extent cx="1184275" cy="356235"/>
              <wp:effectExtent b="0" l="0" r="0" t="0"/>
              <wp:wrapNone/>
              <wp:docPr id="207456151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84275" cy="3562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-252403</wp:posOffset>
              </wp:positionH>
              <wp:positionV relativeFrom="paragraph">
                <wp:posOffset>26988</wp:posOffset>
              </wp:positionV>
              <wp:extent cx="1184275" cy="356235"/>
              <wp:effectExtent b="0" l="0" r="0" t="0"/>
              <wp:wrapNone/>
              <wp:docPr id="2074561517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@Dia_Esp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-252403</wp:posOffset>
              </wp:positionH>
              <wp:positionV relativeFrom="paragraph">
                <wp:posOffset>26988</wp:posOffset>
              </wp:positionV>
              <wp:extent cx="1184275" cy="356235"/>
              <wp:effectExtent b="0" l="0" r="0" t="0"/>
              <wp:wrapNone/>
              <wp:docPr id="2074561517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84275" cy="3562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4700588</wp:posOffset>
              </wp:positionH>
              <wp:positionV relativeFrom="paragraph">
                <wp:posOffset>26988</wp:posOffset>
              </wp:positionV>
              <wp:extent cx="1327785" cy="356235"/>
              <wp:effectExtent b="0" l="0" r="0" t="0"/>
              <wp:wrapNone/>
              <wp:docPr id="2074561516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753545" y="3673320"/>
                        <a:ext cx="118491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u w:val="single"/>
                              <w:vertAlign w:val="baseline"/>
                            </w:rPr>
                            <w:t xml:space="preserve">www.dia.es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4700588</wp:posOffset>
              </wp:positionH>
              <wp:positionV relativeFrom="paragraph">
                <wp:posOffset>26988</wp:posOffset>
              </wp:positionV>
              <wp:extent cx="1327785" cy="356235"/>
              <wp:effectExtent b="0" l="0" r="0" t="0"/>
              <wp:wrapNone/>
              <wp:docPr id="2074561516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27785" cy="3562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2221865</wp:posOffset>
          </wp:positionH>
          <wp:positionV relativeFrom="paragraph">
            <wp:posOffset>151130</wp:posOffset>
          </wp:positionV>
          <wp:extent cx="264160" cy="264160"/>
          <wp:effectExtent b="0" l="0" r="0" t="0"/>
          <wp:wrapSquare wrapText="bothSides" distB="0" distT="0" distL="114300" distR="114300"/>
          <wp:docPr id="20745615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4160" cy="2641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-558783</wp:posOffset>
          </wp:positionH>
          <wp:positionV relativeFrom="paragraph">
            <wp:posOffset>152188</wp:posOffset>
          </wp:positionV>
          <wp:extent cx="263525" cy="263525"/>
          <wp:effectExtent b="0" l="0" r="0" t="0"/>
          <wp:wrapSquare wrapText="bothSides" distB="0" distT="0" distL="114300" distR="114300"/>
          <wp:docPr id="207456151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3525" cy="2635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4628205</wp:posOffset>
          </wp:positionH>
          <wp:positionV relativeFrom="paragraph">
            <wp:posOffset>-19038</wp:posOffset>
          </wp:positionV>
          <wp:extent cx="766763" cy="295751"/>
          <wp:effectExtent b="0" l="0" r="0" t="0"/>
          <wp:wrapNone/>
          <wp:docPr descr="https://glovoblog.files.wordpress.com/2015/10/glovo-logotipo-verde.png?w=300&amp;h=113" id="2074561518" name="image9.png"/>
          <a:graphic>
            <a:graphicData uri="http://schemas.openxmlformats.org/drawingml/2006/picture">
              <pic:pic>
                <pic:nvPicPr>
                  <pic:cNvPr descr="https://glovoblog.files.wordpress.com/2015/10/glovo-logotipo-verde.png?w=300&amp;h=113"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763" cy="29575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4705350</wp:posOffset>
          </wp:positionH>
          <wp:positionV relativeFrom="paragraph">
            <wp:posOffset>-238124</wp:posOffset>
          </wp:positionV>
          <wp:extent cx="749300" cy="704850"/>
          <wp:effectExtent b="0" l="0" r="0" t="0"/>
          <wp:wrapNone/>
          <wp:docPr descr="Un dibujo de una cara feliz&#10;&#10;El contenido generado por IA puede ser incorrecto." id="2074561522" name="image2.png"/>
          <a:graphic>
            <a:graphicData uri="http://schemas.openxmlformats.org/drawingml/2006/picture">
              <pic:pic>
                <pic:nvPicPr>
                  <pic:cNvPr descr="Un dibujo de una cara feliz&#10;&#10;El contenido generado por IA puede ser incorrec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9300" cy="7048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-1074408</wp:posOffset>
          </wp:positionH>
          <wp:positionV relativeFrom="paragraph">
            <wp:posOffset>-445753</wp:posOffset>
          </wp:positionV>
          <wp:extent cx="7699375" cy="1119505"/>
          <wp:effectExtent b="0" l="0" r="0" t="0"/>
          <wp:wrapSquare wrapText="bothSides" distB="0" distT="0" distL="114300" distR="114300"/>
          <wp:docPr id="207456152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99375" cy="111950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0" w:customStyle="1">
    <w:name w:val="TableNormal0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23" w:customStyle="1">
    <w:name w:val="Table Normal2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2" w:customStyle="1">
    <w:name w:val="Table Normal2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1" w:customStyle="1">
    <w:name w:val="Table Normal2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0" w:customStyle="1">
    <w:name w:val="Table Normal2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9" w:customStyle="1">
    <w:name w:val="Table Normal1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8" w:customStyle="1">
    <w:name w:val="Table Normal18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7" w:customStyle="1">
    <w:name w:val="Table Normal17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D403EB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D403EB"/>
  </w:style>
  <w:style w:type="paragraph" w:styleId="Piedepgina">
    <w:name w:val="footer"/>
    <w:basedOn w:val="Normal"/>
    <w:link w:val="PiedepginaCar"/>
    <w:uiPriority w:val="99"/>
    <w:unhideWhenUsed w:val="1"/>
    <w:rsid w:val="00D403EB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D403EB"/>
  </w:style>
  <w:style w:type="paragraph" w:styleId="NormalWeb">
    <w:name w:val="Normal (Web)"/>
    <w:basedOn w:val="Normal"/>
    <w:uiPriority w:val="99"/>
    <w:unhideWhenUsed w:val="1"/>
    <w:rsid w:val="002A17EA"/>
    <w:pPr>
      <w:spacing w:after="100" w:afterAutospacing="1" w:before="100" w:beforeAutospacing="1"/>
    </w:pPr>
  </w:style>
  <w:style w:type="character" w:styleId="Hipervnculo">
    <w:name w:val="Hyperlink"/>
    <w:basedOn w:val="Fuentedeprrafopredeter"/>
    <w:uiPriority w:val="99"/>
    <w:unhideWhenUsed w:val="1"/>
    <w:rsid w:val="002A17E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290B4E"/>
    <w:rPr>
      <w:color w:val="605e5c"/>
      <w:shd w:color="auto" w:fill="e1dfdd" w:val="clear"/>
    </w:rPr>
  </w:style>
  <w:style w:type="character" w:styleId="apple-tab-span" w:customStyle="1">
    <w:name w:val="apple-tab-span"/>
    <w:basedOn w:val="Fuentedeprrafopredeter"/>
    <w:rsid w:val="005D3A0F"/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5D3A0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FC03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FC0320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FC0320"/>
    <w:rPr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FC0320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FC0320"/>
    <w:rPr>
      <w:b w:val="1"/>
      <w:bCs w:val="1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 w:val="1"/>
    <w:rsid w:val="00A11CB0"/>
    <w:rPr>
      <w:b w:val="1"/>
      <w:bCs w:val="1"/>
    </w:rPr>
  </w:style>
  <w:style w:type="table" w:styleId="TableNormal1" w:customStyle="1">
    <w:name w:val="Table Normal1"/>
    <w:rsid w:val="0087625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Revisin">
    <w:name w:val="Revision"/>
    <w:hidden w:val="1"/>
    <w:uiPriority w:val="99"/>
    <w:semiHidden w:val="1"/>
    <w:rsid w:val="0008793B"/>
    <w:rPr>
      <w:lang w:eastAsia="es-ES_tradnl"/>
    </w:rPr>
  </w:style>
  <w:style w:type="paragraph" w:styleId="Textonotapie">
    <w:name w:val="footnote text"/>
    <w:basedOn w:val="Normal"/>
    <w:link w:val="TextonotapieCar"/>
    <w:uiPriority w:val="99"/>
    <w:semiHidden w:val="1"/>
    <w:unhideWhenUsed w:val="1"/>
    <w:rsid w:val="001D4597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 w:val="1"/>
    <w:rsid w:val="001D4597"/>
    <w:rPr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1D4597"/>
    <w:rPr>
      <w:vertAlign w:val="superscript"/>
    </w:rPr>
  </w:style>
  <w:style w:type="paragraph" w:styleId="Prrafodelista">
    <w:name w:val="List Paragraph"/>
    <w:basedOn w:val="Normal"/>
    <w:uiPriority w:val="34"/>
    <w:qFormat w:val="1"/>
    <w:rsid w:val="00B91D59"/>
    <w:pPr>
      <w:ind w:left="720"/>
      <w:contextualSpacing w:val="1"/>
    </w:pPr>
  </w:style>
  <w:style w:type="character" w:styleId="ui-provider" w:customStyle="1">
    <w:name w:val="ui-provider"/>
    <w:basedOn w:val="Fuentedeprrafopredeter"/>
    <w:rsid w:val="002F29BF"/>
  </w:style>
  <w:style w:type="table" w:styleId="TableNormal3" w:customStyle="1">
    <w:name w:val="Table Normal3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4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5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6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7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8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9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6" w:customStyle="1">
    <w:name w:val="Table Normal16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5" w:customStyle="1">
    <w:name w:val="Table Normal15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4" w:customStyle="1">
    <w:name w:val="Table Normal14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3" w:customStyle="1">
    <w:name w:val="Table Normal13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2" w:customStyle="1">
    <w:name w:val="Table Normal12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1" w:customStyle="1">
    <w:name w:val="Table Normal11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 Normal10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raquel.gonzalez.rodriguez@diagroup.com" TargetMode="External"/><Relationship Id="rId10" Type="http://schemas.openxmlformats.org/officeDocument/2006/relationships/image" Target="media/image5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inkedin.com/company/dia-grupo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iacorporate.com/" TargetMode="External"/><Relationship Id="rId8" Type="http://schemas.openxmlformats.org/officeDocument/2006/relationships/hyperlink" Target="https://www.linkedin.com/company/dia-grupo/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QuattrocentoSans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7" Type="http://schemas.openxmlformats.org/officeDocument/2006/relationships/font" Target="fonts/QuattrocentoSans-regular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19" Type="http://schemas.openxmlformats.org/officeDocument/2006/relationships/font" Target="fonts/QuattrocentoSans-italic.ttf"/><Relationship Id="rId6" Type="http://schemas.openxmlformats.org/officeDocument/2006/relationships/font" Target="fonts/Montserrat-bold.ttf"/><Relationship Id="rId18" Type="http://schemas.openxmlformats.org/officeDocument/2006/relationships/font" Target="fonts/QuattrocentoSans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2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oZQSQA07NAW90MGV6CKgmAL+tA==">CgMxLjA4AHIhMThFUzdyRFpQbXRiMFVTWDBZZXdjZ3VCWWU0ZlB1QUVK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2024-10-15T17:18:00Z</dcterms:created>
  <dc:creator>Josu Gonzalez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  <property fmtid="{D5CDD505-2E9C-101B-9397-08002B2CF9AE}" pid="3" name="Order">
    <vt:r8>422800.0</vt:r8>
  </property>
</Properties>
</file>