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AC46C6" w14:textId="77777777" w:rsidR="00A87A6F" w:rsidRDefault="00C56D26" w:rsidP="00D87176">
      <w:pPr>
        <w:spacing w:after="0" w:line="264" w:lineRule="auto"/>
        <w:jc w:val="center"/>
        <w:rPr>
          <w:rFonts w:ascii="Rubik" w:eastAsia="Rubik" w:hAnsi="Rubik" w:cs="Rubik"/>
          <w:b/>
          <w:color w:val="00B0F0"/>
          <w:sz w:val="24"/>
          <w:szCs w:val="24"/>
        </w:rPr>
      </w:pPr>
      <w:r>
        <w:rPr>
          <w:rFonts w:ascii="Rubik" w:eastAsia="Rubik" w:hAnsi="Rubik" w:cs="Rubik"/>
          <w:b/>
          <w:color w:val="00B0F0"/>
          <w:sz w:val="24"/>
          <w:szCs w:val="24"/>
        </w:rPr>
        <w:t>Inversiones</w:t>
      </w:r>
    </w:p>
    <w:p w14:paraId="7B7E1664" w14:textId="1FC7DE6A" w:rsidR="00D87176" w:rsidRPr="00D87176" w:rsidRDefault="00201195" w:rsidP="00D87176">
      <w:pPr>
        <w:spacing w:after="0" w:line="264" w:lineRule="auto"/>
        <w:jc w:val="center"/>
        <w:rPr>
          <w:rFonts w:ascii="Rubik" w:eastAsia="Rubik" w:hAnsi="Rubik" w:cs="Rubik"/>
          <w:b/>
          <w:strike/>
          <w:sz w:val="30"/>
          <w:szCs w:val="30"/>
        </w:rPr>
      </w:pPr>
      <w:r>
        <w:rPr>
          <w:rFonts w:ascii="Rubik" w:eastAsia="Rubik" w:hAnsi="Rubik" w:cs="Rubik"/>
          <w:b/>
          <w:sz w:val="30"/>
          <w:szCs w:val="30"/>
        </w:rPr>
        <w:t>Lactalis</w:t>
      </w:r>
      <w:r w:rsidRPr="00D87176">
        <w:rPr>
          <w:rFonts w:ascii="Rubik" w:eastAsia="Rubik" w:hAnsi="Rubik" w:cs="Rubik"/>
          <w:b/>
          <w:sz w:val="30"/>
          <w:szCs w:val="30"/>
        </w:rPr>
        <w:t xml:space="preserve"> </w:t>
      </w:r>
      <w:r w:rsidR="00D87176" w:rsidRPr="00D87176">
        <w:rPr>
          <w:rFonts w:ascii="Rubik" w:eastAsia="Rubik" w:hAnsi="Rubik" w:cs="Rubik"/>
          <w:b/>
          <w:sz w:val="30"/>
          <w:szCs w:val="30"/>
        </w:rPr>
        <w:t xml:space="preserve">se alía con </w:t>
      </w:r>
      <w:proofErr w:type="spellStart"/>
      <w:r>
        <w:rPr>
          <w:rFonts w:ascii="Rubik" w:eastAsia="Rubik" w:hAnsi="Rubik" w:cs="Rubik"/>
          <w:b/>
          <w:sz w:val="30"/>
          <w:szCs w:val="30"/>
        </w:rPr>
        <w:t>Magnon</w:t>
      </w:r>
      <w:proofErr w:type="spellEnd"/>
      <w:r w:rsidRPr="00D87176">
        <w:rPr>
          <w:rFonts w:ascii="Rubik" w:eastAsia="Rubik" w:hAnsi="Rubik" w:cs="Rubik"/>
          <w:b/>
          <w:sz w:val="30"/>
          <w:szCs w:val="30"/>
        </w:rPr>
        <w:t xml:space="preserve"> </w:t>
      </w:r>
      <w:r w:rsidR="00D87176" w:rsidRPr="00D87176">
        <w:rPr>
          <w:rFonts w:ascii="Rubik" w:eastAsia="Rubik" w:hAnsi="Rubik" w:cs="Rubik"/>
          <w:b/>
          <w:sz w:val="30"/>
          <w:szCs w:val="30"/>
        </w:rPr>
        <w:t>para la promoción de dos nuevas plant</w:t>
      </w:r>
      <w:r w:rsidR="00D87176">
        <w:rPr>
          <w:rFonts w:ascii="Rubik" w:eastAsia="Rubik" w:hAnsi="Rubik" w:cs="Rubik"/>
          <w:b/>
          <w:sz w:val="30"/>
          <w:szCs w:val="30"/>
        </w:rPr>
        <w:t>a</w:t>
      </w:r>
      <w:r w:rsidR="00D87176" w:rsidRPr="00D87176">
        <w:rPr>
          <w:rFonts w:ascii="Rubik" w:eastAsia="Rubik" w:hAnsi="Rubik" w:cs="Rubik"/>
          <w:b/>
          <w:sz w:val="30"/>
          <w:szCs w:val="30"/>
        </w:rPr>
        <w:t xml:space="preserve">s de biomasa en Albacete y Granada con una inversión asociada </w:t>
      </w:r>
      <w:r w:rsidR="000859CB">
        <w:rPr>
          <w:rFonts w:ascii="Rubik" w:eastAsia="Rubik" w:hAnsi="Rubik" w:cs="Rubik"/>
          <w:b/>
          <w:sz w:val="30"/>
          <w:szCs w:val="30"/>
        </w:rPr>
        <w:t xml:space="preserve">de más de 12 millones de euros </w:t>
      </w:r>
    </w:p>
    <w:p w14:paraId="412D21FF" w14:textId="77777777" w:rsidR="00D87176" w:rsidRPr="00D87176" w:rsidRDefault="00D87176" w:rsidP="00FA3787">
      <w:pPr>
        <w:spacing w:after="0" w:line="264" w:lineRule="auto"/>
        <w:jc w:val="center"/>
        <w:rPr>
          <w:rFonts w:ascii="Rubik" w:eastAsia="Rubik" w:hAnsi="Rubik" w:cs="Rubik"/>
          <w:b/>
          <w:sz w:val="30"/>
          <w:szCs w:val="30"/>
        </w:rPr>
      </w:pPr>
    </w:p>
    <w:p w14:paraId="6D98AC66" w14:textId="39AC322D" w:rsidR="00C56D26" w:rsidRDefault="000847A9" w:rsidP="00FA3787">
      <w:pPr>
        <w:spacing w:after="0" w:line="264" w:lineRule="auto"/>
        <w:jc w:val="center"/>
        <w:rPr>
          <w:rFonts w:ascii="Rubik" w:eastAsia="Rubik" w:hAnsi="Rubik" w:cs="Rubik"/>
          <w:i/>
        </w:rPr>
      </w:pPr>
      <w:r w:rsidRPr="000847A9">
        <w:rPr>
          <w:rFonts w:ascii="Rubik" w:eastAsia="Rubik" w:hAnsi="Rubik" w:cs="Rubik"/>
          <w:i/>
        </w:rPr>
        <w:t xml:space="preserve">Los proyectos permitirán a Lactalis alcanzar una reducción </w:t>
      </w:r>
      <w:r>
        <w:rPr>
          <w:rFonts w:ascii="Rubik" w:eastAsia="Rubik" w:hAnsi="Rubik" w:cs="Rubik"/>
          <w:i/>
        </w:rPr>
        <w:t xml:space="preserve">en España </w:t>
      </w:r>
      <w:r>
        <w:rPr>
          <w:rFonts w:ascii="Rubik" w:eastAsia="Rubik" w:hAnsi="Rubik" w:cs="Rubik"/>
          <w:i/>
        </w:rPr>
        <w:br/>
      </w:r>
      <w:r w:rsidRPr="000847A9">
        <w:rPr>
          <w:rFonts w:ascii="Rubik" w:eastAsia="Rubik" w:hAnsi="Rubik" w:cs="Rubik"/>
          <w:i/>
        </w:rPr>
        <w:t xml:space="preserve">del </w:t>
      </w:r>
      <w:r w:rsidR="00442A49">
        <w:rPr>
          <w:rFonts w:ascii="Rubik" w:eastAsia="Rubik" w:hAnsi="Rubik" w:cs="Rubik"/>
          <w:i/>
        </w:rPr>
        <w:t>76</w:t>
      </w:r>
      <w:r w:rsidRPr="000847A9">
        <w:rPr>
          <w:rFonts w:ascii="Rubik" w:eastAsia="Rubik" w:hAnsi="Rubik" w:cs="Rubik"/>
          <w:i/>
        </w:rPr>
        <w:t xml:space="preserve">% en sus emisiones </w:t>
      </w:r>
      <w:r w:rsidR="00442A49">
        <w:rPr>
          <w:rFonts w:ascii="Rubik" w:eastAsia="Rubik" w:hAnsi="Rubik" w:cs="Rubik"/>
          <w:i/>
        </w:rPr>
        <w:t xml:space="preserve">totales </w:t>
      </w:r>
      <w:r w:rsidRPr="000847A9">
        <w:rPr>
          <w:rFonts w:ascii="Rubik" w:eastAsia="Rubik" w:hAnsi="Rubik" w:cs="Rubik"/>
          <w:i/>
        </w:rPr>
        <w:t>de CO₂ de alcance 1 y 2 respecto al año base 2019</w:t>
      </w:r>
    </w:p>
    <w:p w14:paraId="0B4E86C3" w14:textId="77777777" w:rsidR="000847A9" w:rsidRPr="00FA3787" w:rsidRDefault="000847A9" w:rsidP="00FA3787">
      <w:pPr>
        <w:spacing w:after="0" w:line="264" w:lineRule="auto"/>
        <w:jc w:val="center"/>
        <w:rPr>
          <w:rFonts w:ascii="Rubik" w:eastAsia="Rubik" w:hAnsi="Rubik" w:cs="Rubik"/>
          <w:i/>
        </w:rPr>
      </w:pPr>
    </w:p>
    <w:p w14:paraId="22161970" w14:textId="7D44A5CD" w:rsidR="00853640" w:rsidRPr="00FA3787" w:rsidRDefault="00D87176" w:rsidP="00FA3787">
      <w:pPr>
        <w:spacing w:after="0" w:line="264" w:lineRule="auto"/>
        <w:jc w:val="center"/>
        <w:rPr>
          <w:rFonts w:ascii="Rubik" w:eastAsia="Rubik" w:hAnsi="Rubik" w:cs="Rubik"/>
          <w:i/>
        </w:rPr>
      </w:pPr>
      <w:proofErr w:type="spellStart"/>
      <w:r>
        <w:rPr>
          <w:rFonts w:ascii="Rubik" w:eastAsia="Rubik" w:hAnsi="Rubik" w:cs="Rubik"/>
          <w:i/>
        </w:rPr>
        <w:t>Magnon</w:t>
      </w:r>
      <w:proofErr w:type="spellEnd"/>
      <w:r w:rsidR="000847A9" w:rsidRPr="000847A9">
        <w:rPr>
          <w:rFonts w:ascii="Rubik" w:eastAsia="Rubik" w:hAnsi="Rubik" w:cs="Rubik"/>
          <w:i/>
        </w:rPr>
        <w:t xml:space="preserve"> es el socio estratégico en la ejecución de las instalaciones, </w:t>
      </w:r>
      <w:r w:rsidR="000847A9">
        <w:rPr>
          <w:rFonts w:ascii="Rubik" w:eastAsia="Rubik" w:hAnsi="Rubik" w:cs="Rubik"/>
          <w:i/>
        </w:rPr>
        <w:br/>
      </w:r>
      <w:r w:rsidR="000847A9" w:rsidRPr="000847A9">
        <w:rPr>
          <w:rFonts w:ascii="Rubik" w:eastAsia="Rubik" w:hAnsi="Rubik" w:cs="Rubik"/>
          <w:i/>
        </w:rPr>
        <w:t>cofinanciadas por el PERTE de descarbonización industrial</w:t>
      </w:r>
      <w:r w:rsidR="00CA5444">
        <w:rPr>
          <w:rFonts w:ascii="Rubik" w:eastAsia="Rubik" w:hAnsi="Rubik" w:cs="Rubik"/>
          <w:i/>
        </w:rPr>
        <w:br/>
      </w:r>
    </w:p>
    <w:p w14:paraId="2EFF6A49" w14:textId="1907E7D6" w:rsidR="00D87176" w:rsidRDefault="0022792E" w:rsidP="00F878EF">
      <w:pPr>
        <w:spacing w:line="278" w:lineRule="auto"/>
        <w:jc w:val="both"/>
        <w:rPr>
          <w:rFonts w:ascii="Rubik" w:eastAsia="Rubik" w:hAnsi="Rubik" w:cs="Rubik"/>
          <w:sz w:val="21"/>
          <w:szCs w:val="21"/>
        </w:rPr>
      </w:pPr>
      <w:r>
        <w:rPr>
          <w:rFonts w:ascii="Rubik" w:eastAsia="Rubik" w:hAnsi="Rubik" w:cs="Rubik"/>
          <w:b/>
          <w:bCs/>
          <w:sz w:val="21"/>
          <w:szCs w:val="21"/>
        </w:rPr>
        <w:t>Madrid</w:t>
      </w:r>
      <w:r w:rsidR="001C3951" w:rsidRPr="000254FE">
        <w:rPr>
          <w:rFonts w:ascii="Rubik" w:eastAsia="Rubik" w:hAnsi="Rubik" w:cs="Rubik"/>
          <w:b/>
          <w:bCs/>
          <w:sz w:val="21"/>
          <w:szCs w:val="21"/>
        </w:rPr>
        <w:t xml:space="preserve">, </w:t>
      </w:r>
      <w:r w:rsidR="00E07EBB">
        <w:rPr>
          <w:rFonts w:ascii="Rubik" w:eastAsia="Rubik" w:hAnsi="Rubik" w:cs="Rubik"/>
          <w:b/>
          <w:bCs/>
          <w:sz w:val="21"/>
          <w:szCs w:val="21"/>
        </w:rPr>
        <w:t>26</w:t>
      </w:r>
      <w:r w:rsidR="001C3951" w:rsidRPr="001C3951">
        <w:rPr>
          <w:rFonts w:ascii="Rubik" w:eastAsia="Rubik" w:hAnsi="Rubik" w:cs="Rubik"/>
          <w:b/>
          <w:bCs/>
          <w:sz w:val="21"/>
          <w:szCs w:val="21"/>
        </w:rPr>
        <w:t xml:space="preserve"> </w:t>
      </w:r>
      <w:r w:rsidR="001C3951" w:rsidRPr="000254FE">
        <w:rPr>
          <w:rFonts w:ascii="Rubik" w:eastAsia="Rubik" w:hAnsi="Rubik" w:cs="Rubik"/>
          <w:b/>
          <w:bCs/>
          <w:sz w:val="21"/>
          <w:szCs w:val="21"/>
        </w:rPr>
        <w:t xml:space="preserve">de </w:t>
      </w:r>
      <w:r w:rsidR="005C1C06">
        <w:rPr>
          <w:rFonts w:ascii="Rubik" w:eastAsia="Rubik" w:hAnsi="Rubik" w:cs="Rubik"/>
          <w:b/>
          <w:bCs/>
          <w:sz w:val="21"/>
          <w:szCs w:val="21"/>
        </w:rPr>
        <w:t>noviembre</w:t>
      </w:r>
      <w:r w:rsidR="001C3951" w:rsidRPr="000254FE">
        <w:rPr>
          <w:rFonts w:ascii="Rubik" w:eastAsia="Rubik" w:hAnsi="Rubik" w:cs="Rubik"/>
          <w:b/>
          <w:bCs/>
          <w:sz w:val="21"/>
          <w:szCs w:val="21"/>
        </w:rPr>
        <w:t xml:space="preserve"> de </w:t>
      </w:r>
      <w:proofErr w:type="gramStart"/>
      <w:r w:rsidR="001C3951" w:rsidRPr="000254FE">
        <w:rPr>
          <w:rFonts w:ascii="Rubik" w:eastAsia="Rubik" w:hAnsi="Rubik" w:cs="Rubik"/>
          <w:b/>
          <w:bCs/>
          <w:sz w:val="21"/>
          <w:szCs w:val="21"/>
        </w:rPr>
        <w:t>2025</w:t>
      </w:r>
      <w:r w:rsidR="001C3951" w:rsidRPr="000254FE">
        <w:rPr>
          <w:rFonts w:ascii="Rubik" w:eastAsia="Rubik" w:hAnsi="Rubik" w:cs="Rubik"/>
          <w:sz w:val="21"/>
          <w:szCs w:val="21"/>
        </w:rPr>
        <w:t>.–</w:t>
      </w:r>
      <w:proofErr w:type="gramEnd"/>
      <w:r w:rsidR="001C3951" w:rsidRPr="000254FE">
        <w:rPr>
          <w:rFonts w:ascii="Rubik" w:eastAsia="Rubik" w:hAnsi="Rubik" w:cs="Rubik"/>
          <w:sz w:val="21"/>
          <w:szCs w:val="21"/>
        </w:rPr>
        <w:t xml:space="preserve"> </w:t>
      </w:r>
      <w:r w:rsidRPr="0022792E">
        <w:rPr>
          <w:rFonts w:ascii="Rubik" w:eastAsia="Rubik" w:hAnsi="Rubik" w:cs="Rubik"/>
          <w:sz w:val="21"/>
          <w:szCs w:val="21"/>
        </w:rPr>
        <w:t>Lactalis</w:t>
      </w:r>
      <w:r w:rsidR="00AC518D">
        <w:rPr>
          <w:rFonts w:ascii="Rubik" w:eastAsia="Rubik" w:hAnsi="Rubik" w:cs="Rubik"/>
          <w:sz w:val="21"/>
          <w:szCs w:val="21"/>
        </w:rPr>
        <w:t xml:space="preserve"> </w:t>
      </w:r>
      <w:r w:rsidR="00FD755B">
        <w:rPr>
          <w:rFonts w:ascii="Rubik" w:eastAsia="Rubik" w:hAnsi="Rubik" w:cs="Rubik"/>
          <w:sz w:val="21"/>
          <w:szCs w:val="21"/>
        </w:rPr>
        <w:t xml:space="preserve">España, líder del sector lácteo en nuestro país, </w:t>
      </w:r>
      <w:r w:rsidR="00D87176">
        <w:rPr>
          <w:rFonts w:ascii="Rubik" w:eastAsia="Rubik" w:hAnsi="Rubik" w:cs="Rubik"/>
          <w:sz w:val="21"/>
          <w:szCs w:val="21"/>
        </w:rPr>
        <w:t xml:space="preserve">de la mano de </w:t>
      </w:r>
      <w:proofErr w:type="spellStart"/>
      <w:r w:rsidR="00D87176">
        <w:rPr>
          <w:rFonts w:ascii="Rubik" w:eastAsia="Rubik" w:hAnsi="Rubik" w:cs="Rubik"/>
          <w:sz w:val="21"/>
          <w:szCs w:val="21"/>
        </w:rPr>
        <w:t>Magnon</w:t>
      </w:r>
      <w:proofErr w:type="spellEnd"/>
      <w:r w:rsidR="00D87176">
        <w:rPr>
          <w:rFonts w:ascii="Rubik" w:eastAsia="Rubik" w:hAnsi="Rubik" w:cs="Rubik"/>
          <w:sz w:val="21"/>
          <w:szCs w:val="21"/>
        </w:rPr>
        <w:t xml:space="preserve">, </w:t>
      </w:r>
      <w:r w:rsidR="00D87176" w:rsidRPr="00A87A6F">
        <w:rPr>
          <w:rFonts w:ascii="Rubik" w:eastAsia="Rubik" w:hAnsi="Rubik" w:cs="Rubik"/>
          <w:sz w:val="21"/>
          <w:szCs w:val="21"/>
        </w:rPr>
        <w:t>compañía líder en producción de energía renovable con biomasa forestal y agrícola en España</w:t>
      </w:r>
      <w:r w:rsidR="00D5318D" w:rsidRPr="00A87A6F">
        <w:rPr>
          <w:rFonts w:ascii="Rubik" w:eastAsia="Rubik" w:hAnsi="Rubik" w:cs="Rubik"/>
          <w:sz w:val="21"/>
          <w:szCs w:val="21"/>
        </w:rPr>
        <w:t>,</w:t>
      </w:r>
      <w:r w:rsidR="00D87176">
        <w:rPr>
          <w:rFonts w:ascii="Rubik" w:eastAsia="Rubik" w:hAnsi="Rubik" w:cs="Rubik"/>
          <w:sz w:val="21"/>
          <w:szCs w:val="21"/>
        </w:rPr>
        <w:t xml:space="preserve"> </w:t>
      </w:r>
      <w:r w:rsidRPr="0022792E">
        <w:rPr>
          <w:rFonts w:ascii="Rubik" w:eastAsia="Rubik" w:hAnsi="Rubik" w:cs="Rubik"/>
          <w:sz w:val="21"/>
          <w:szCs w:val="21"/>
        </w:rPr>
        <w:t>refuerza</w:t>
      </w:r>
      <w:r w:rsidR="00D87176">
        <w:rPr>
          <w:rFonts w:ascii="Rubik" w:eastAsia="Rubik" w:hAnsi="Rubik" w:cs="Rubik"/>
          <w:sz w:val="21"/>
          <w:szCs w:val="21"/>
        </w:rPr>
        <w:t>n</w:t>
      </w:r>
      <w:r w:rsidRPr="0022792E">
        <w:rPr>
          <w:rFonts w:ascii="Rubik" w:eastAsia="Rubik" w:hAnsi="Rubik" w:cs="Rubik"/>
          <w:sz w:val="21"/>
          <w:szCs w:val="21"/>
        </w:rPr>
        <w:t xml:space="preserve"> su compromiso con la sostenibilidad y la transición energética con </w:t>
      </w:r>
      <w:r>
        <w:rPr>
          <w:rFonts w:ascii="Rubik" w:eastAsia="Rubik" w:hAnsi="Rubik" w:cs="Rubik"/>
          <w:sz w:val="21"/>
          <w:szCs w:val="21"/>
        </w:rPr>
        <w:t xml:space="preserve">la promoción </w:t>
      </w:r>
      <w:r w:rsidRPr="0022792E">
        <w:rPr>
          <w:rFonts w:ascii="Rubik" w:eastAsia="Rubik" w:hAnsi="Rubik" w:cs="Rubik"/>
          <w:sz w:val="21"/>
          <w:szCs w:val="21"/>
        </w:rPr>
        <w:t xml:space="preserve">de dos nuevas plantas de biomasa en </w:t>
      </w:r>
      <w:r w:rsidR="00D87176">
        <w:rPr>
          <w:rFonts w:ascii="Rubik" w:eastAsia="Rubik" w:hAnsi="Rubik" w:cs="Rubik"/>
          <w:sz w:val="21"/>
          <w:szCs w:val="21"/>
        </w:rPr>
        <w:t>los</w:t>
      </w:r>
      <w:r w:rsidR="00D87176" w:rsidRPr="0022792E">
        <w:rPr>
          <w:rFonts w:ascii="Rubik" w:eastAsia="Rubik" w:hAnsi="Rubik" w:cs="Rubik"/>
          <w:sz w:val="21"/>
          <w:szCs w:val="21"/>
        </w:rPr>
        <w:t xml:space="preserve"> </w:t>
      </w:r>
      <w:r w:rsidRPr="0022792E">
        <w:rPr>
          <w:rFonts w:ascii="Rubik" w:eastAsia="Rubik" w:hAnsi="Rubik" w:cs="Rubik"/>
          <w:sz w:val="21"/>
          <w:szCs w:val="21"/>
        </w:rPr>
        <w:t>centros de producción de Villarrobledo (Albacete) y Granada</w:t>
      </w:r>
      <w:r w:rsidR="000859CB">
        <w:rPr>
          <w:rFonts w:ascii="Rubik" w:eastAsia="Rubik" w:hAnsi="Rubik" w:cs="Rubik"/>
          <w:sz w:val="21"/>
          <w:szCs w:val="21"/>
        </w:rPr>
        <w:t xml:space="preserve"> </w:t>
      </w:r>
      <w:r w:rsidR="00D5318D">
        <w:rPr>
          <w:rFonts w:ascii="Rubik" w:eastAsia="Rubik" w:hAnsi="Rubik" w:cs="Rubik"/>
          <w:sz w:val="21"/>
          <w:szCs w:val="21"/>
        </w:rPr>
        <w:t>de la compañía láctea.</w:t>
      </w:r>
    </w:p>
    <w:p w14:paraId="7EDFC507" w14:textId="71691A53" w:rsidR="0022792E" w:rsidRPr="0022792E" w:rsidRDefault="0022792E" w:rsidP="00F878EF">
      <w:pPr>
        <w:spacing w:line="278" w:lineRule="auto"/>
        <w:jc w:val="both"/>
        <w:rPr>
          <w:rFonts w:ascii="Rubik" w:eastAsia="Rubik" w:hAnsi="Rubik" w:cs="Rubik"/>
          <w:sz w:val="21"/>
          <w:szCs w:val="21"/>
        </w:rPr>
      </w:pPr>
      <w:r w:rsidRPr="0022792E">
        <w:rPr>
          <w:rFonts w:ascii="Rubik" w:eastAsia="Rubik" w:hAnsi="Rubik" w:cs="Rubik"/>
          <w:sz w:val="21"/>
          <w:szCs w:val="21"/>
        </w:rPr>
        <w:t xml:space="preserve"> Los proyectos, promovidos por Lactalis y ejecutados por </w:t>
      </w:r>
      <w:proofErr w:type="spellStart"/>
      <w:r w:rsidR="00D87176">
        <w:rPr>
          <w:rFonts w:ascii="Rubik" w:eastAsia="Rubik" w:hAnsi="Rubik" w:cs="Rubik"/>
          <w:sz w:val="21"/>
          <w:szCs w:val="21"/>
        </w:rPr>
        <w:t>Magnon</w:t>
      </w:r>
      <w:proofErr w:type="spellEnd"/>
      <w:r w:rsidRPr="0022792E">
        <w:rPr>
          <w:rFonts w:ascii="Rubik" w:eastAsia="Rubik" w:hAnsi="Rubik" w:cs="Rubik"/>
          <w:sz w:val="21"/>
          <w:szCs w:val="21"/>
        </w:rPr>
        <w:t xml:space="preserve">, cuentan con una inversión asociada </w:t>
      </w:r>
      <w:r w:rsidR="00593CF5">
        <w:rPr>
          <w:rFonts w:ascii="Rubik" w:eastAsia="Rubik" w:hAnsi="Rubik" w:cs="Rubik"/>
          <w:sz w:val="21"/>
          <w:szCs w:val="21"/>
        </w:rPr>
        <w:t xml:space="preserve">de más de 12 millones de euros </w:t>
      </w:r>
      <w:r w:rsidR="00B73C6F">
        <w:rPr>
          <w:rFonts w:ascii="Rubik" w:eastAsia="Rubik" w:hAnsi="Rubik" w:cs="Rubik"/>
          <w:sz w:val="21"/>
          <w:szCs w:val="21"/>
        </w:rPr>
        <w:t>(</w:t>
      </w:r>
      <w:r w:rsidR="00B73C6F" w:rsidRPr="00B73C6F">
        <w:rPr>
          <w:rFonts w:ascii="Rubik" w:eastAsia="Rubik" w:hAnsi="Rubik" w:cs="Rubik"/>
          <w:sz w:val="21"/>
          <w:szCs w:val="21"/>
        </w:rPr>
        <w:t>6</w:t>
      </w:r>
      <w:r w:rsidR="00B73C6F">
        <w:rPr>
          <w:rFonts w:ascii="Rubik" w:eastAsia="Rubik" w:hAnsi="Rubik" w:cs="Rubik"/>
          <w:sz w:val="21"/>
          <w:szCs w:val="21"/>
        </w:rPr>
        <w:t>,</w:t>
      </w:r>
      <w:r w:rsidR="00B73C6F" w:rsidRPr="00B73C6F">
        <w:rPr>
          <w:rFonts w:ascii="Rubik" w:eastAsia="Rubik" w:hAnsi="Rubik" w:cs="Rubik"/>
          <w:sz w:val="21"/>
          <w:szCs w:val="21"/>
        </w:rPr>
        <w:t>06</w:t>
      </w:r>
      <w:r w:rsidR="009A0A2F">
        <w:rPr>
          <w:rFonts w:ascii="Rubik" w:eastAsia="Rubik" w:hAnsi="Rubik" w:cs="Rubik"/>
          <w:sz w:val="21"/>
          <w:szCs w:val="21"/>
        </w:rPr>
        <w:t>M</w:t>
      </w:r>
      <w:r w:rsidR="00B73C6F" w:rsidRPr="00B73C6F">
        <w:rPr>
          <w:rFonts w:ascii="Rubik" w:eastAsia="Rubik" w:hAnsi="Rubik" w:cs="Rubik"/>
          <w:sz w:val="21"/>
          <w:szCs w:val="21"/>
        </w:rPr>
        <w:t>€</w:t>
      </w:r>
      <w:r w:rsidR="009A0A2F">
        <w:rPr>
          <w:rFonts w:ascii="Rubik" w:eastAsia="Rubik" w:hAnsi="Rubik" w:cs="Rubik"/>
          <w:sz w:val="21"/>
          <w:szCs w:val="21"/>
        </w:rPr>
        <w:t xml:space="preserve"> en Granada; y 6,35M€ en Villarrobledo)</w:t>
      </w:r>
      <w:r w:rsidRPr="0022792E">
        <w:rPr>
          <w:rFonts w:ascii="Rubik" w:eastAsia="Rubik" w:hAnsi="Rubik" w:cs="Rubik"/>
          <w:sz w:val="21"/>
          <w:szCs w:val="21"/>
        </w:rPr>
        <w:t xml:space="preserve">, cofinanciada </w:t>
      </w:r>
      <w:r>
        <w:rPr>
          <w:rFonts w:ascii="Rubik" w:eastAsia="Rubik" w:hAnsi="Rubik" w:cs="Rubik"/>
          <w:sz w:val="21"/>
          <w:szCs w:val="21"/>
        </w:rPr>
        <w:t>parcialmente</w:t>
      </w:r>
      <w:r w:rsidRPr="0022792E">
        <w:rPr>
          <w:rFonts w:ascii="Rubik" w:eastAsia="Rubik" w:hAnsi="Rubik" w:cs="Rubik"/>
          <w:sz w:val="21"/>
          <w:szCs w:val="21"/>
        </w:rPr>
        <w:t xml:space="preserve"> por el </w:t>
      </w:r>
      <w:r w:rsidR="00D87176" w:rsidRPr="00D87176">
        <w:rPr>
          <w:rFonts w:ascii="Rubik" w:eastAsia="Rubik" w:hAnsi="Rubik" w:cs="Rubik"/>
          <w:sz w:val="21"/>
          <w:szCs w:val="21"/>
        </w:rPr>
        <w:t xml:space="preserve">Proyecto Estratégico para la Recuperación y Transformación Económica </w:t>
      </w:r>
      <w:r w:rsidR="00D87176">
        <w:rPr>
          <w:rFonts w:ascii="Rubik" w:eastAsia="Rubik" w:hAnsi="Rubik" w:cs="Rubik"/>
          <w:sz w:val="21"/>
          <w:szCs w:val="21"/>
        </w:rPr>
        <w:t>(</w:t>
      </w:r>
      <w:r w:rsidRPr="0022792E">
        <w:rPr>
          <w:rFonts w:ascii="Rubik" w:eastAsia="Rubik" w:hAnsi="Rubik" w:cs="Rubik"/>
          <w:sz w:val="21"/>
          <w:szCs w:val="21"/>
        </w:rPr>
        <w:t>PERTE</w:t>
      </w:r>
      <w:r w:rsidR="00D87176">
        <w:rPr>
          <w:rFonts w:ascii="Rubik" w:eastAsia="Rubik" w:hAnsi="Rubik" w:cs="Rubik"/>
          <w:sz w:val="21"/>
          <w:szCs w:val="21"/>
        </w:rPr>
        <w:t>)</w:t>
      </w:r>
      <w:r w:rsidRPr="0022792E">
        <w:rPr>
          <w:rFonts w:ascii="Rubik" w:eastAsia="Rubik" w:hAnsi="Rubik" w:cs="Rubik"/>
          <w:sz w:val="21"/>
          <w:szCs w:val="21"/>
        </w:rPr>
        <w:t xml:space="preserve"> de descarbonización industrial del Gobierno de España</w:t>
      </w:r>
      <w:r w:rsidR="00F878EF">
        <w:rPr>
          <w:rFonts w:ascii="Rubik" w:eastAsia="Rubik" w:hAnsi="Rubik" w:cs="Rubik"/>
          <w:sz w:val="21"/>
          <w:szCs w:val="21"/>
        </w:rPr>
        <w:t xml:space="preserve">, y contribuirán a que Lactalis alcance </w:t>
      </w:r>
      <w:r w:rsidR="00F878EF" w:rsidRPr="00F878EF">
        <w:rPr>
          <w:rFonts w:ascii="Rubik" w:eastAsia="Rubik" w:hAnsi="Rubik" w:cs="Rubik"/>
          <w:sz w:val="21"/>
          <w:szCs w:val="21"/>
        </w:rPr>
        <w:t xml:space="preserve">una reducción en España </w:t>
      </w:r>
      <w:r w:rsidR="0048670D">
        <w:rPr>
          <w:rFonts w:ascii="Rubik" w:eastAsia="Rubik" w:hAnsi="Rubik" w:cs="Rubik"/>
          <w:sz w:val="21"/>
          <w:szCs w:val="21"/>
        </w:rPr>
        <w:t xml:space="preserve">del 76% de sus emisiones totales </w:t>
      </w:r>
      <w:r w:rsidR="00F878EF" w:rsidRPr="00F878EF">
        <w:rPr>
          <w:rFonts w:ascii="Rubik" w:eastAsia="Rubik" w:hAnsi="Rubik" w:cs="Rubik"/>
          <w:sz w:val="21"/>
          <w:szCs w:val="21"/>
        </w:rPr>
        <w:t>de CO₂ de alcance 1 y 2 respecto al año base 2019</w:t>
      </w:r>
      <w:r w:rsidR="00F878EF">
        <w:rPr>
          <w:rFonts w:ascii="Rubik" w:eastAsia="Rubik" w:hAnsi="Rubik" w:cs="Rubik"/>
          <w:sz w:val="21"/>
          <w:szCs w:val="21"/>
        </w:rPr>
        <w:t>, acelerando su estrategia de descarbonización industrial.</w:t>
      </w:r>
    </w:p>
    <w:p w14:paraId="3246DF20" w14:textId="052D3252" w:rsidR="0022792E" w:rsidRDefault="0022792E" w:rsidP="0022792E">
      <w:pPr>
        <w:spacing w:line="278" w:lineRule="auto"/>
        <w:jc w:val="both"/>
        <w:rPr>
          <w:rFonts w:ascii="Rubik" w:eastAsia="Rubik" w:hAnsi="Rubik" w:cs="Rubik"/>
          <w:sz w:val="21"/>
          <w:szCs w:val="21"/>
        </w:rPr>
      </w:pPr>
      <w:r w:rsidRPr="0022792E">
        <w:rPr>
          <w:rFonts w:ascii="Rubik" w:eastAsia="Rubik" w:hAnsi="Rubik" w:cs="Rubik"/>
          <w:sz w:val="21"/>
          <w:szCs w:val="21"/>
        </w:rPr>
        <w:t>Cada planta contará con una caldera de vapor saturado de 10 toneladas/hora a 16 bar</w:t>
      </w:r>
      <w:r w:rsidR="005A006C">
        <w:rPr>
          <w:rFonts w:ascii="Rubik" w:eastAsia="Rubik" w:hAnsi="Rubik" w:cs="Rubik"/>
          <w:sz w:val="21"/>
          <w:szCs w:val="21"/>
        </w:rPr>
        <w:t>(</w:t>
      </w:r>
      <w:r w:rsidRPr="0022792E">
        <w:rPr>
          <w:rFonts w:ascii="Rubik" w:eastAsia="Rubik" w:hAnsi="Rubik" w:cs="Rubik"/>
          <w:sz w:val="21"/>
          <w:szCs w:val="21"/>
        </w:rPr>
        <w:t>g</w:t>
      </w:r>
      <w:r w:rsidR="005A006C">
        <w:rPr>
          <w:rFonts w:ascii="Rubik" w:eastAsia="Rubik" w:hAnsi="Rubik" w:cs="Rubik"/>
          <w:sz w:val="21"/>
          <w:szCs w:val="21"/>
        </w:rPr>
        <w:t>)</w:t>
      </w:r>
      <w:r w:rsidRPr="0022792E">
        <w:rPr>
          <w:rFonts w:ascii="Rubik" w:eastAsia="Rubik" w:hAnsi="Rubik" w:cs="Rubik"/>
          <w:sz w:val="21"/>
          <w:szCs w:val="21"/>
        </w:rPr>
        <w:t xml:space="preserve">, alimentada con biomasa agroforestal certificada procedente de territorios colindantes. </w:t>
      </w:r>
      <w:r w:rsidRPr="003943B1">
        <w:rPr>
          <w:rFonts w:ascii="Rubik" w:eastAsia="Rubik" w:hAnsi="Rubik" w:cs="Rubik"/>
          <w:b/>
          <w:bCs/>
          <w:sz w:val="21"/>
          <w:szCs w:val="21"/>
        </w:rPr>
        <w:t>Esta tecnología permitirá sustituir el uso de gas natural por energía térmica renovable</w:t>
      </w:r>
      <w:r w:rsidRPr="0022792E">
        <w:rPr>
          <w:rFonts w:ascii="Rubik" w:eastAsia="Rubik" w:hAnsi="Rubik" w:cs="Rubik"/>
          <w:sz w:val="21"/>
          <w:szCs w:val="21"/>
        </w:rPr>
        <w:t>, con una capacidad de generación</w:t>
      </w:r>
      <w:r w:rsidR="001D55FF">
        <w:rPr>
          <w:rFonts w:ascii="Rubik" w:eastAsia="Rubik" w:hAnsi="Rubik" w:cs="Rubik"/>
          <w:sz w:val="21"/>
          <w:szCs w:val="21"/>
        </w:rPr>
        <w:t xml:space="preserve"> de 37.000 </w:t>
      </w:r>
      <w:proofErr w:type="spellStart"/>
      <w:r w:rsidR="001D55FF">
        <w:rPr>
          <w:rFonts w:ascii="Rubik" w:eastAsia="Rubik" w:hAnsi="Rubik" w:cs="Rubik"/>
          <w:sz w:val="21"/>
          <w:szCs w:val="21"/>
        </w:rPr>
        <w:t>MWh</w:t>
      </w:r>
      <w:proofErr w:type="spellEnd"/>
      <w:r w:rsidR="001D55FF">
        <w:rPr>
          <w:rFonts w:ascii="Rubik" w:eastAsia="Rubik" w:hAnsi="Rubik" w:cs="Rubik"/>
          <w:sz w:val="21"/>
          <w:szCs w:val="21"/>
        </w:rPr>
        <w:t xml:space="preserve">/año en Villarrobledo y de 41.000 </w:t>
      </w:r>
      <w:proofErr w:type="spellStart"/>
      <w:r w:rsidR="001D55FF">
        <w:rPr>
          <w:rFonts w:ascii="Rubik" w:eastAsia="Rubik" w:hAnsi="Rubik" w:cs="Rubik"/>
          <w:sz w:val="21"/>
          <w:szCs w:val="21"/>
        </w:rPr>
        <w:t>Mhw</w:t>
      </w:r>
      <w:proofErr w:type="spellEnd"/>
      <w:r w:rsidR="001D55FF">
        <w:rPr>
          <w:rFonts w:ascii="Rubik" w:eastAsia="Rubik" w:hAnsi="Rubik" w:cs="Rubik"/>
          <w:sz w:val="21"/>
          <w:szCs w:val="21"/>
        </w:rPr>
        <w:t xml:space="preserve">/año en </w:t>
      </w:r>
      <w:proofErr w:type="spellStart"/>
      <w:r w:rsidR="001D55FF">
        <w:rPr>
          <w:rFonts w:ascii="Rubik" w:eastAsia="Rubik" w:hAnsi="Rubik" w:cs="Rubik"/>
          <w:sz w:val="21"/>
          <w:szCs w:val="21"/>
        </w:rPr>
        <w:t>Granada</w:t>
      </w:r>
      <w:r w:rsidRPr="0022792E">
        <w:rPr>
          <w:rFonts w:ascii="Rubik" w:eastAsia="Rubik" w:hAnsi="Rubik" w:cs="Rubik"/>
          <w:sz w:val="21"/>
          <w:szCs w:val="21"/>
        </w:rPr>
        <w:t>o</w:t>
      </w:r>
      <w:proofErr w:type="spellEnd"/>
      <w:r w:rsidRPr="0022792E">
        <w:rPr>
          <w:rFonts w:ascii="Rubik" w:eastAsia="Rubik" w:hAnsi="Rubik" w:cs="Rubik"/>
          <w:sz w:val="21"/>
          <w:szCs w:val="21"/>
        </w:rPr>
        <w:t xml:space="preserve"> en </w:t>
      </w:r>
      <w:r w:rsidR="00AC518D">
        <w:rPr>
          <w:rFonts w:ascii="Rubik" w:eastAsia="Rubik" w:hAnsi="Rubik" w:cs="Rubik"/>
          <w:sz w:val="21"/>
          <w:szCs w:val="21"/>
        </w:rPr>
        <w:t xml:space="preserve">el entorno </w:t>
      </w:r>
      <w:r w:rsidR="00902206">
        <w:rPr>
          <w:rFonts w:ascii="Rubik" w:eastAsia="Rubik" w:hAnsi="Rubik" w:cs="Rubik"/>
          <w:sz w:val="21"/>
          <w:szCs w:val="21"/>
        </w:rPr>
        <w:t xml:space="preserve">de 40.000 </w:t>
      </w:r>
      <w:proofErr w:type="spellStart"/>
      <w:r w:rsidR="00902206">
        <w:rPr>
          <w:rFonts w:ascii="Rubik" w:eastAsia="Rubik" w:hAnsi="Rubik" w:cs="Rubik"/>
          <w:sz w:val="21"/>
          <w:szCs w:val="21"/>
        </w:rPr>
        <w:t>MWh</w:t>
      </w:r>
      <w:proofErr w:type="spellEnd"/>
      <w:r w:rsidR="00902206">
        <w:rPr>
          <w:rFonts w:ascii="Rubik" w:eastAsia="Rubik" w:hAnsi="Rubik" w:cs="Rubik"/>
          <w:sz w:val="21"/>
          <w:szCs w:val="21"/>
        </w:rPr>
        <w:t>/año por planta</w:t>
      </w:r>
      <w:r w:rsidR="00001541">
        <w:rPr>
          <w:rFonts w:ascii="Rubik" w:eastAsia="Rubik" w:hAnsi="Rubik" w:cs="Rubik"/>
          <w:sz w:val="21"/>
          <w:szCs w:val="21"/>
        </w:rPr>
        <w:t>, i</w:t>
      </w:r>
      <w:r w:rsidR="00001541" w:rsidRPr="00001541">
        <w:rPr>
          <w:rFonts w:ascii="Rubik" w:eastAsia="Rubik" w:hAnsi="Rubik" w:cs="Rubik"/>
          <w:sz w:val="21"/>
          <w:szCs w:val="21"/>
        </w:rPr>
        <w:t xml:space="preserve">ncrementando </w:t>
      </w:r>
      <w:r w:rsidR="00001541">
        <w:rPr>
          <w:rFonts w:ascii="Rubik" w:eastAsia="Rubik" w:hAnsi="Rubik" w:cs="Rubik"/>
          <w:sz w:val="21"/>
          <w:szCs w:val="21"/>
        </w:rPr>
        <w:t>de forma significativa</w:t>
      </w:r>
      <w:r w:rsidR="00001541" w:rsidRPr="00001541">
        <w:rPr>
          <w:rFonts w:ascii="Rubik" w:eastAsia="Rubik" w:hAnsi="Rubik" w:cs="Rubik"/>
          <w:sz w:val="21"/>
          <w:szCs w:val="21"/>
        </w:rPr>
        <w:t xml:space="preserve"> la energía verde que ya aportan las plantas fotovoltaicas</w:t>
      </w:r>
      <w:r w:rsidR="00130764">
        <w:rPr>
          <w:rFonts w:ascii="Rubik" w:eastAsia="Rubik" w:hAnsi="Rubik" w:cs="Rubik"/>
          <w:sz w:val="21"/>
          <w:szCs w:val="21"/>
        </w:rPr>
        <w:t xml:space="preserve"> operativos en ambas localizaciones</w:t>
      </w:r>
      <w:r w:rsidR="00001541">
        <w:rPr>
          <w:rFonts w:ascii="Rubik" w:eastAsia="Rubik" w:hAnsi="Rubik" w:cs="Rubik"/>
          <w:sz w:val="21"/>
          <w:szCs w:val="21"/>
        </w:rPr>
        <w:t>.</w:t>
      </w:r>
    </w:p>
    <w:p w14:paraId="25BB8DF5" w14:textId="2296B6E5" w:rsidR="00415034" w:rsidRPr="0022792E" w:rsidRDefault="00415034" w:rsidP="0022792E">
      <w:pPr>
        <w:spacing w:line="278" w:lineRule="auto"/>
        <w:jc w:val="both"/>
        <w:rPr>
          <w:rFonts w:ascii="Rubik" w:eastAsia="Rubik" w:hAnsi="Rubik" w:cs="Rubik"/>
          <w:sz w:val="21"/>
          <w:szCs w:val="21"/>
        </w:rPr>
      </w:pPr>
      <w:r w:rsidRPr="003943B1">
        <w:rPr>
          <w:rFonts w:ascii="Rubik" w:eastAsia="Rubik" w:hAnsi="Rubik" w:cs="Rubik"/>
          <w:b/>
          <w:bCs/>
          <w:sz w:val="21"/>
          <w:szCs w:val="21"/>
        </w:rPr>
        <w:t>La biomasa utilizada en las nuevas plantas estará íntegramente certificada conforme a los estándares europeos de sostenibilidad</w:t>
      </w:r>
      <w:r w:rsidRPr="00415034">
        <w:rPr>
          <w:rFonts w:ascii="Rubik" w:eastAsia="Rubik" w:hAnsi="Rubik" w:cs="Rubik"/>
          <w:sz w:val="21"/>
          <w:szCs w:val="21"/>
        </w:rPr>
        <w:t xml:space="preserve">, garantizando su trazabilidad </w:t>
      </w:r>
      <w:r w:rsidR="00593CF5">
        <w:rPr>
          <w:rFonts w:ascii="Rubik" w:eastAsia="Rubik" w:hAnsi="Rubik" w:cs="Rubik"/>
          <w:sz w:val="21"/>
          <w:szCs w:val="21"/>
        </w:rPr>
        <w:t xml:space="preserve">e impacto neutro en </w:t>
      </w:r>
      <w:r w:rsidRPr="00415034">
        <w:rPr>
          <w:rFonts w:ascii="Rubik" w:eastAsia="Rubik" w:hAnsi="Rubik" w:cs="Rubik"/>
          <w:sz w:val="21"/>
          <w:szCs w:val="21"/>
        </w:rPr>
        <w:t xml:space="preserve">y emisiones. </w:t>
      </w:r>
      <w:r w:rsidRPr="003943B1">
        <w:rPr>
          <w:rFonts w:ascii="Rubik" w:eastAsia="Rubik" w:hAnsi="Rubik" w:cs="Rubik"/>
          <w:b/>
          <w:bCs/>
          <w:sz w:val="21"/>
          <w:szCs w:val="21"/>
        </w:rPr>
        <w:t xml:space="preserve">Su origen se sitúa en </w:t>
      </w:r>
      <w:r w:rsidR="008B2583" w:rsidRPr="003943B1">
        <w:rPr>
          <w:rFonts w:ascii="Rubik" w:eastAsia="Rubik" w:hAnsi="Rubik" w:cs="Rubik"/>
          <w:b/>
          <w:bCs/>
          <w:sz w:val="21"/>
          <w:szCs w:val="21"/>
        </w:rPr>
        <w:t>las provincias de</w:t>
      </w:r>
      <w:r w:rsidRPr="003943B1">
        <w:rPr>
          <w:rFonts w:ascii="Rubik" w:eastAsia="Rubik" w:hAnsi="Rubik" w:cs="Rubik"/>
          <w:b/>
          <w:bCs/>
          <w:sz w:val="21"/>
          <w:szCs w:val="21"/>
        </w:rPr>
        <w:t xml:space="preserve"> Albacete</w:t>
      </w:r>
      <w:r w:rsidR="008B2583" w:rsidRPr="003943B1">
        <w:rPr>
          <w:rFonts w:ascii="Rubik" w:eastAsia="Rubik" w:hAnsi="Rubik" w:cs="Rubik"/>
          <w:b/>
          <w:bCs/>
          <w:sz w:val="21"/>
          <w:szCs w:val="21"/>
        </w:rPr>
        <w:t>,</w:t>
      </w:r>
      <w:r w:rsidRPr="003943B1">
        <w:rPr>
          <w:rFonts w:ascii="Rubik" w:eastAsia="Rubik" w:hAnsi="Rubik" w:cs="Rubik"/>
          <w:b/>
          <w:bCs/>
          <w:sz w:val="21"/>
          <w:szCs w:val="21"/>
        </w:rPr>
        <w:t xml:space="preserve"> Granada</w:t>
      </w:r>
      <w:r w:rsidR="008B2583" w:rsidRPr="003943B1">
        <w:rPr>
          <w:rFonts w:ascii="Rubik" w:eastAsia="Rubik" w:hAnsi="Rubik" w:cs="Rubik"/>
          <w:b/>
          <w:bCs/>
          <w:sz w:val="21"/>
          <w:szCs w:val="21"/>
        </w:rPr>
        <w:t xml:space="preserve"> y las colindantes</w:t>
      </w:r>
      <w:r w:rsidRPr="00415034">
        <w:rPr>
          <w:rFonts w:ascii="Rubik" w:eastAsia="Rubik" w:hAnsi="Rubik" w:cs="Rubik"/>
          <w:sz w:val="21"/>
          <w:szCs w:val="21"/>
        </w:rPr>
        <w:t xml:space="preserve">, lo que </w:t>
      </w:r>
      <w:r w:rsidR="008B2583">
        <w:rPr>
          <w:rFonts w:ascii="Rubik" w:eastAsia="Rubik" w:hAnsi="Rubik" w:cs="Rubik"/>
          <w:sz w:val="21"/>
          <w:szCs w:val="21"/>
        </w:rPr>
        <w:t>permitirá</w:t>
      </w:r>
      <w:r w:rsidRPr="00415034">
        <w:rPr>
          <w:rFonts w:ascii="Rubik" w:eastAsia="Rubik" w:hAnsi="Rubik" w:cs="Rubik"/>
          <w:sz w:val="21"/>
          <w:szCs w:val="21"/>
        </w:rPr>
        <w:t xml:space="preserve"> reducir la huella logística y favorecer el aprovechamiento de recursos agroforestales locales. Esta proximidad, además de asegurar un suministro estable, </w:t>
      </w:r>
      <w:r w:rsidR="008B2583">
        <w:rPr>
          <w:rFonts w:ascii="Rubik" w:eastAsia="Rubik" w:hAnsi="Rubik" w:cs="Rubik"/>
          <w:sz w:val="21"/>
          <w:szCs w:val="21"/>
        </w:rPr>
        <w:t>contribuirá</w:t>
      </w:r>
      <w:r w:rsidRPr="00415034">
        <w:rPr>
          <w:rFonts w:ascii="Rubik" w:eastAsia="Rubik" w:hAnsi="Rubik" w:cs="Rubik"/>
          <w:sz w:val="21"/>
          <w:szCs w:val="21"/>
        </w:rPr>
        <w:t xml:space="preserve"> directamente al desarrollo económico del entorno rural, generando actividad en zonas tradicionalmente vinculadas al sector primario.</w:t>
      </w:r>
    </w:p>
    <w:p w14:paraId="1CE8B82D" w14:textId="032DCF2F" w:rsidR="0022792E" w:rsidRPr="0022792E" w:rsidRDefault="008B2583" w:rsidP="0022792E">
      <w:pPr>
        <w:spacing w:line="278" w:lineRule="auto"/>
        <w:jc w:val="both"/>
        <w:rPr>
          <w:rFonts w:ascii="Rubik" w:eastAsia="Rubik" w:hAnsi="Rubik" w:cs="Rubik"/>
          <w:sz w:val="21"/>
          <w:szCs w:val="21"/>
        </w:rPr>
      </w:pPr>
      <w:r>
        <w:rPr>
          <w:rFonts w:ascii="Rubik" w:eastAsia="Rubik" w:hAnsi="Rubik" w:cs="Rubik"/>
          <w:sz w:val="21"/>
          <w:szCs w:val="21"/>
        </w:rPr>
        <w:t xml:space="preserve">Adicionalmente, </w:t>
      </w:r>
      <w:r w:rsidRPr="003943B1">
        <w:rPr>
          <w:rFonts w:ascii="Rubik" w:eastAsia="Rubik" w:hAnsi="Rubik" w:cs="Rubik"/>
          <w:b/>
          <w:bCs/>
          <w:sz w:val="21"/>
          <w:szCs w:val="21"/>
        </w:rPr>
        <w:t>el proyecto contempla el empleo de</w:t>
      </w:r>
      <w:r w:rsidR="006676B4" w:rsidRPr="003943B1">
        <w:rPr>
          <w:rFonts w:ascii="Rubik" w:eastAsia="Rubik" w:hAnsi="Rubik" w:cs="Rubik"/>
          <w:b/>
          <w:bCs/>
          <w:sz w:val="21"/>
          <w:szCs w:val="21"/>
        </w:rPr>
        <w:t xml:space="preserve"> tecnologías innovadoras para la generación y gestión eficiente de energía térmica renovable</w:t>
      </w:r>
      <w:r w:rsidR="006676B4" w:rsidRPr="006676B4">
        <w:rPr>
          <w:rFonts w:ascii="Rubik" w:eastAsia="Rubik" w:hAnsi="Rubik" w:cs="Rubik"/>
          <w:sz w:val="21"/>
          <w:szCs w:val="21"/>
        </w:rPr>
        <w:t xml:space="preserve">. Su diseño incorpora soluciones avanzadas que garantizan un rendimiento óptimo, una reducción significativa de emisiones y un impacto ambiental mínimo. Además, la gestión de subproductos como cenizas y escorias se realizará bajo criterios de sostenibilidad, con opciones de valorización como fertilizante </w:t>
      </w:r>
      <w:r w:rsidR="00C41B7B">
        <w:rPr>
          <w:rFonts w:ascii="Rubik" w:eastAsia="Rubik" w:hAnsi="Rubik" w:cs="Rubik"/>
          <w:sz w:val="21"/>
          <w:szCs w:val="21"/>
        </w:rPr>
        <w:t>agrícola</w:t>
      </w:r>
      <w:r w:rsidR="006676B4" w:rsidRPr="006676B4">
        <w:rPr>
          <w:rFonts w:ascii="Rubik" w:eastAsia="Rubik" w:hAnsi="Rubik" w:cs="Rubik"/>
          <w:sz w:val="21"/>
          <w:szCs w:val="21"/>
        </w:rPr>
        <w:t xml:space="preserve"> o combustible alternativo, integrando plenamente la economía circular en la operación diaria.</w:t>
      </w:r>
    </w:p>
    <w:p w14:paraId="12BAE822" w14:textId="5E3B9CC5" w:rsidR="000847A9" w:rsidRDefault="0022792E" w:rsidP="000847A9">
      <w:pPr>
        <w:spacing w:line="278" w:lineRule="auto"/>
        <w:jc w:val="both"/>
        <w:rPr>
          <w:rFonts w:ascii="Rubik" w:eastAsia="Rubik" w:hAnsi="Rubik" w:cs="Rubik"/>
          <w:sz w:val="21"/>
          <w:szCs w:val="21"/>
        </w:rPr>
      </w:pPr>
      <w:r w:rsidRPr="003943B1">
        <w:rPr>
          <w:rFonts w:ascii="Rubik" w:eastAsia="Rubik" w:hAnsi="Rubik" w:cs="Rubik"/>
          <w:b/>
          <w:bCs/>
          <w:sz w:val="21"/>
          <w:szCs w:val="21"/>
        </w:rPr>
        <w:lastRenderedPageBreak/>
        <w:t xml:space="preserve">Los proyectos generarán 20 empleos </w:t>
      </w:r>
      <w:r w:rsidR="008B2583" w:rsidRPr="003943B1">
        <w:rPr>
          <w:rFonts w:ascii="Rubik" w:eastAsia="Rubik" w:hAnsi="Rubik" w:cs="Rubik"/>
          <w:b/>
          <w:bCs/>
          <w:sz w:val="21"/>
          <w:szCs w:val="21"/>
        </w:rPr>
        <w:t>en cada</w:t>
      </w:r>
      <w:r w:rsidRPr="003943B1">
        <w:rPr>
          <w:rFonts w:ascii="Rubik" w:eastAsia="Rubik" w:hAnsi="Rubik" w:cs="Rubik"/>
          <w:b/>
          <w:bCs/>
          <w:sz w:val="21"/>
          <w:szCs w:val="21"/>
        </w:rPr>
        <w:t xml:space="preserve"> planta</w:t>
      </w:r>
      <w:r w:rsidRPr="0022792E">
        <w:rPr>
          <w:rFonts w:ascii="Rubik" w:eastAsia="Rubik" w:hAnsi="Rubik" w:cs="Rubik"/>
          <w:sz w:val="21"/>
          <w:szCs w:val="21"/>
        </w:rPr>
        <w:t>, entre puestos directos e indirectos, y estarán operativos</w:t>
      </w:r>
      <w:r w:rsidR="008B2583">
        <w:rPr>
          <w:rFonts w:ascii="Rubik" w:eastAsia="Rubik" w:hAnsi="Rubik" w:cs="Rubik"/>
          <w:sz w:val="21"/>
          <w:szCs w:val="21"/>
        </w:rPr>
        <w:t xml:space="preserve">, según las previsiones actuales, </w:t>
      </w:r>
      <w:r w:rsidR="003943B1">
        <w:rPr>
          <w:rFonts w:ascii="Rubik" w:eastAsia="Rubik" w:hAnsi="Rubik" w:cs="Rubik"/>
          <w:sz w:val="21"/>
          <w:szCs w:val="21"/>
        </w:rPr>
        <w:t>a partir de</w:t>
      </w:r>
      <w:r w:rsidRPr="0022792E">
        <w:rPr>
          <w:rFonts w:ascii="Rubik" w:eastAsia="Rubik" w:hAnsi="Rubik" w:cs="Rubik"/>
          <w:sz w:val="21"/>
          <w:szCs w:val="21"/>
        </w:rPr>
        <w:t xml:space="preserve"> junio de 2026</w:t>
      </w:r>
      <w:r w:rsidR="008B2583">
        <w:rPr>
          <w:rFonts w:ascii="Rubik" w:eastAsia="Rubik" w:hAnsi="Rubik" w:cs="Rubik"/>
          <w:sz w:val="21"/>
          <w:szCs w:val="21"/>
        </w:rPr>
        <w:t>.</w:t>
      </w:r>
    </w:p>
    <w:p w14:paraId="351DAD58" w14:textId="4E904104" w:rsidR="00B14101" w:rsidRDefault="00B14101" w:rsidP="00B14101">
      <w:pPr>
        <w:spacing w:line="278" w:lineRule="auto"/>
        <w:jc w:val="both"/>
        <w:rPr>
          <w:rFonts w:ascii="Rubik" w:eastAsia="Rubik" w:hAnsi="Rubik" w:cs="Rubik"/>
          <w:sz w:val="21"/>
          <w:szCs w:val="21"/>
        </w:rPr>
      </w:pPr>
      <w:r w:rsidRPr="003943B1">
        <w:rPr>
          <w:rFonts w:ascii="Rubik" w:eastAsia="Rubik" w:hAnsi="Rubik" w:cs="Rubik"/>
          <w:i/>
          <w:iCs/>
          <w:sz w:val="21"/>
          <w:szCs w:val="21"/>
        </w:rPr>
        <w:t>“Este proyecto representa un nuevo hito en nuestra estrategia de descarbonización industrial en España. En Lactalis estamos avanzando de forma decidida y anticipada respecto a los objetivos globales del grupo, gracias a iniciativas como esta que nos permiten acelerar la transición energética en nuestras fábricas. La puesta en marcha de estas plantas de biomasa, junto con otras inversiones en energías renovables, demuestra que no solo cumplimos con los compromisos climáticos, sino que los superamos con visión, rigor y ambición”</w:t>
      </w:r>
      <w:r w:rsidR="000C2FEA" w:rsidRPr="003943B1">
        <w:rPr>
          <w:rFonts w:ascii="Rubik" w:eastAsia="Rubik" w:hAnsi="Rubik" w:cs="Rubik"/>
          <w:sz w:val="21"/>
          <w:szCs w:val="21"/>
        </w:rPr>
        <w:t xml:space="preserve">, </w:t>
      </w:r>
      <w:r w:rsidR="000C2FEA">
        <w:rPr>
          <w:rFonts w:ascii="Rubik" w:eastAsia="Rubik" w:hAnsi="Rubik" w:cs="Rubik"/>
          <w:sz w:val="21"/>
          <w:szCs w:val="21"/>
        </w:rPr>
        <w:t xml:space="preserve">explica </w:t>
      </w:r>
      <w:r w:rsidRPr="00B14101">
        <w:rPr>
          <w:rFonts w:ascii="Rubik" w:eastAsia="Rubik" w:hAnsi="Rubik" w:cs="Rubik"/>
          <w:sz w:val="21"/>
          <w:szCs w:val="21"/>
        </w:rPr>
        <w:t xml:space="preserve">David </w:t>
      </w:r>
      <w:proofErr w:type="spellStart"/>
      <w:r w:rsidRPr="00B14101">
        <w:rPr>
          <w:rFonts w:ascii="Rubik" w:eastAsia="Rubik" w:hAnsi="Rubik" w:cs="Rubik"/>
          <w:sz w:val="21"/>
          <w:szCs w:val="21"/>
        </w:rPr>
        <w:t>Saliot</w:t>
      </w:r>
      <w:proofErr w:type="spellEnd"/>
      <w:r w:rsidRPr="00B14101">
        <w:rPr>
          <w:rFonts w:ascii="Rubik" w:eastAsia="Rubik" w:hAnsi="Rubik" w:cs="Rubik"/>
          <w:sz w:val="21"/>
          <w:szCs w:val="21"/>
        </w:rPr>
        <w:t>, CEO de Lactalis España y Portugal</w:t>
      </w:r>
      <w:r w:rsidR="009B0EFE">
        <w:rPr>
          <w:rFonts w:ascii="Rubik" w:eastAsia="Rubik" w:hAnsi="Rubik" w:cs="Rubik"/>
          <w:sz w:val="21"/>
          <w:szCs w:val="21"/>
        </w:rPr>
        <w:t>.</w:t>
      </w:r>
    </w:p>
    <w:p w14:paraId="335C1F5C" w14:textId="2F5E916C" w:rsidR="000C2F6C" w:rsidRPr="003943B1" w:rsidRDefault="00640CC3" w:rsidP="00B14101">
      <w:pPr>
        <w:spacing w:line="278" w:lineRule="auto"/>
        <w:jc w:val="both"/>
        <w:rPr>
          <w:rFonts w:ascii="Rubik" w:eastAsia="Rubik" w:hAnsi="Rubik" w:cs="Rubik"/>
          <w:i/>
          <w:iCs/>
          <w:sz w:val="21"/>
          <w:szCs w:val="21"/>
        </w:rPr>
      </w:pPr>
      <w:r w:rsidRPr="00A87A6F">
        <w:rPr>
          <w:rFonts w:ascii="Rubik" w:eastAsia="Rubik" w:hAnsi="Rubik" w:cs="Rubik"/>
          <w:sz w:val="21"/>
          <w:szCs w:val="21"/>
        </w:rPr>
        <w:t xml:space="preserve">Para Guillermo Negro, CEO de </w:t>
      </w:r>
      <w:proofErr w:type="spellStart"/>
      <w:r w:rsidRPr="00A87A6F">
        <w:rPr>
          <w:rFonts w:ascii="Rubik" w:eastAsia="Rubik" w:hAnsi="Rubik" w:cs="Rubik"/>
          <w:sz w:val="21"/>
          <w:szCs w:val="21"/>
        </w:rPr>
        <w:t>Magnon</w:t>
      </w:r>
      <w:proofErr w:type="spellEnd"/>
      <w:r>
        <w:rPr>
          <w:rFonts w:ascii="Rubik" w:eastAsia="Rubik" w:hAnsi="Rubik" w:cs="Rubik"/>
          <w:i/>
          <w:iCs/>
          <w:sz w:val="21"/>
          <w:szCs w:val="21"/>
        </w:rPr>
        <w:t>,</w:t>
      </w:r>
      <w:r w:rsidR="00A87A6F">
        <w:rPr>
          <w:rFonts w:ascii="Rubik" w:eastAsia="Rubik" w:hAnsi="Rubik" w:cs="Rubik"/>
          <w:i/>
          <w:iCs/>
          <w:sz w:val="21"/>
          <w:szCs w:val="21"/>
        </w:rPr>
        <w:t xml:space="preserve"> “</w:t>
      </w:r>
      <w:r w:rsidR="000C2F6C" w:rsidRPr="003943B1">
        <w:rPr>
          <w:rFonts w:ascii="Rubik" w:eastAsia="Rubik" w:hAnsi="Rubik" w:cs="Rubik"/>
          <w:i/>
          <w:iCs/>
          <w:sz w:val="21"/>
          <w:szCs w:val="21"/>
        </w:rPr>
        <w:t>es una satisfacción poder ejecutar y gestionar este proyecto para una compañía como Lactalis, referente en el sector agroalimentario. Esta colaboración nos permite aportar todo nuestro conocimiento y experiencia en soluciones energéticas sostenibles, con un enfoque industrial, eficiente y comprometido con el entorno. Estamos orgullosos de contribuir a una transformación real del modelo energético en la industria alimentaria”</w:t>
      </w:r>
      <w:r w:rsidR="00D4038A" w:rsidRPr="003943B1">
        <w:rPr>
          <w:rFonts w:ascii="Rubik" w:eastAsia="Rubik" w:hAnsi="Rubik" w:cs="Rubik"/>
          <w:i/>
          <w:iCs/>
          <w:sz w:val="21"/>
          <w:szCs w:val="21"/>
        </w:rPr>
        <w:t>.</w:t>
      </w:r>
    </w:p>
    <w:p w14:paraId="7A3D217D" w14:textId="7E39A6A8" w:rsidR="00E94B7B" w:rsidRDefault="00E94B7B" w:rsidP="001C3951">
      <w:pPr>
        <w:spacing w:line="278" w:lineRule="auto"/>
        <w:jc w:val="both"/>
        <w:rPr>
          <w:rFonts w:ascii="Rubik" w:eastAsia="Rubik" w:hAnsi="Rubik" w:cs="Rubik"/>
          <w:b/>
          <w:bCs/>
          <w:sz w:val="21"/>
          <w:szCs w:val="21"/>
        </w:rPr>
      </w:pPr>
      <w:r w:rsidRPr="00E94B7B">
        <w:rPr>
          <w:rFonts w:ascii="Rubik" w:eastAsia="Rubik" w:hAnsi="Rubik" w:cs="Rubik"/>
          <w:b/>
          <w:bCs/>
          <w:sz w:val="21"/>
          <w:szCs w:val="21"/>
        </w:rPr>
        <w:t xml:space="preserve">Una apuesta estratégica </w:t>
      </w:r>
      <w:r w:rsidR="00E3082A">
        <w:rPr>
          <w:rFonts w:ascii="Rubik" w:eastAsia="Rubik" w:hAnsi="Rubik" w:cs="Rubik"/>
          <w:b/>
          <w:bCs/>
          <w:sz w:val="21"/>
          <w:szCs w:val="21"/>
        </w:rPr>
        <w:t xml:space="preserve">de Lactalis </w:t>
      </w:r>
      <w:r w:rsidRPr="00E94B7B">
        <w:rPr>
          <w:rFonts w:ascii="Rubik" w:eastAsia="Rubik" w:hAnsi="Rubik" w:cs="Rubik"/>
          <w:b/>
          <w:bCs/>
          <w:sz w:val="21"/>
          <w:szCs w:val="21"/>
        </w:rPr>
        <w:t>por la descarbonización industrial</w:t>
      </w:r>
    </w:p>
    <w:p w14:paraId="47E471F4" w14:textId="77777777" w:rsidR="00A87A6F" w:rsidRDefault="00A26225" w:rsidP="00E3082A">
      <w:pPr>
        <w:spacing w:line="278" w:lineRule="auto"/>
        <w:jc w:val="both"/>
        <w:rPr>
          <w:rFonts w:ascii="Rubik" w:eastAsia="Rubik" w:hAnsi="Rubik" w:cs="Rubik"/>
          <w:sz w:val="21"/>
          <w:szCs w:val="21"/>
        </w:rPr>
      </w:pPr>
      <w:r w:rsidRPr="00A26225">
        <w:rPr>
          <w:rFonts w:ascii="Rubik" w:eastAsia="Rubik" w:hAnsi="Rubik" w:cs="Rubik"/>
          <w:sz w:val="21"/>
          <w:szCs w:val="21"/>
        </w:rPr>
        <w:t xml:space="preserve">Estos proyectos </w:t>
      </w:r>
      <w:r w:rsidR="00A87A6F">
        <w:rPr>
          <w:rFonts w:ascii="Rubik" w:eastAsia="Rubik" w:hAnsi="Rubik" w:cs="Rubik"/>
          <w:sz w:val="21"/>
          <w:szCs w:val="21"/>
        </w:rPr>
        <w:t xml:space="preserve">en colaboración con </w:t>
      </w:r>
      <w:proofErr w:type="spellStart"/>
      <w:r w:rsidR="00A87A6F">
        <w:rPr>
          <w:rFonts w:ascii="Rubik" w:eastAsia="Rubik" w:hAnsi="Rubik" w:cs="Rubik"/>
          <w:sz w:val="21"/>
          <w:szCs w:val="21"/>
        </w:rPr>
        <w:t>Magnon</w:t>
      </w:r>
      <w:proofErr w:type="spellEnd"/>
      <w:r w:rsidR="00A87A6F">
        <w:rPr>
          <w:rFonts w:ascii="Rubik" w:eastAsia="Rubik" w:hAnsi="Rubik" w:cs="Rubik"/>
          <w:sz w:val="21"/>
          <w:szCs w:val="21"/>
        </w:rPr>
        <w:t xml:space="preserve"> </w:t>
      </w:r>
      <w:r w:rsidRPr="00A26225">
        <w:rPr>
          <w:rFonts w:ascii="Rubik" w:eastAsia="Rubik" w:hAnsi="Rubik" w:cs="Rubik"/>
          <w:sz w:val="21"/>
          <w:szCs w:val="21"/>
        </w:rPr>
        <w:t xml:space="preserve">se enmarcan en la hoja de ruta de RSC de Lactalis, cuyos objetivos en cuanto a descarbonización han sido validados por la iniciativa </w:t>
      </w:r>
      <w:proofErr w:type="spellStart"/>
      <w:r w:rsidRPr="00A26225">
        <w:rPr>
          <w:rFonts w:ascii="Rubik" w:eastAsia="Rubik" w:hAnsi="Rubik" w:cs="Rubik"/>
          <w:i/>
          <w:iCs/>
          <w:sz w:val="21"/>
          <w:szCs w:val="21"/>
        </w:rPr>
        <w:t>Science</w:t>
      </w:r>
      <w:proofErr w:type="spellEnd"/>
      <w:r w:rsidRPr="00A26225">
        <w:rPr>
          <w:rFonts w:ascii="Rubik" w:eastAsia="Rubik" w:hAnsi="Rubik" w:cs="Rubik"/>
          <w:i/>
          <w:iCs/>
          <w:sz w:val="21"/>
          <w:szCs w:val="21"/>
        </w:rPr>
        <w:t xml:space="preserve"> </w:t>
      </w:r>
      <w:proofErr w:type="spellStart"/>
      <w:r w:rsidRPr="00A26225">
        <w:rPr>
          <w:rFonts w:ascii="Rubik" w:eastAsia="Rubik" w:hAnsi="Rubik" w:cs="Rubik"/>
          <w:i/>
          <w:iCs/>
          <w:sz w:val="21"/>
          <w:szCs w:val="21"/>
        </w:rPr>
        <w:t>Based</w:t>
      </w:r>
      <w:proofErr w:type="spellEnd"/>
      <w:r w:rsidRPr="00A26225">
        <w:rPr>
          <w:rFonts w:ascii="Rubik" w:eastAsia="Rubik" w:hAnsi="Rubik" w:cs="Rubik"/>
          <w:i/>
          <w:iCs/>
          <w:sz w:val="21"/>
          <w:szCs w:val="21"/>
        </w:rPr>
        <w:t xml:space="preserve"> Targets</w:t>
      </w:r>
      <w:r w:rsidRPr="00A26225">
        <w:rPr>
          <w:rFonts w:ascii="Rubik" w:eastAsia="Rubik" w:hAnsi="Rubik" w:cs="Rubik"/>
          <w:sz w:val="21"/>
          <w:szCs w:val="21"/>
        </w:rPr>
        <w:t xml:space="preserve"> (</w:t>
      </w:r>
      <w:proofErr w:type="spellStart"/>
      <w:r w:rsidRPr="00A26225">
        <w:rPr>
          <w:rFonts w:ascii="Rubik" w:eastAsia="Rubik" w:hAnsi="Rubik" w:cs="Rubik"/>
          <w:sz w:val="21"/>
          <w:szCs w:val="21"/>
        </w:rPr>
        <w:t>SBTi</w:t>
      </w:r>
      <w:proofErr w:type="spellEnd"/>
      <w:r w:rsidRPr="00A26225">
        <w:rPr>
          <w:rFonts w:ascii="Rubik" w:eastAsia="Rubik" w:hAnsi="Rubik" w:cs="Rubik"/>
          <w:sz w:val="21"/>
          <w:szCs w:val="21"/>
        </w:rPr>
        <w:t>). Desde 2019, en España, la compañía ha logrado reducir un 69,3% sus emisiones de CO₂ de alcance</w:t>
      </w:r>
      <w:r>
        <w:rPr>
          <w:rFonts w:ascii="Rubik" w:eastAsia="Rubik" w:hAnsi="Rubik" w:cs="Rubik"/>
          <w:sz w:val="21"/>
          <w:szCs w:val="21"/>
        </w:rPr>
        <w:t>s</w:t>
      </w:r>
      <w:r w:rsidRPr="00A26225">
        <w:rPr>
          <w:rFonts w:ascii="Rubik" w:eastAsia="Rubik" w:hAnsi="Rubik" w:cs="Rubik"/>
          <w:sz w:val="21"/>
          <w:szCs w:val="21"/>
        </w:rPr>
        <w:t xml:space="preserve"> 1 y 2, y con la entrada en operación de estas plantas alcanzará el 76% de reducción, consolidando sus avances en descarbonización y sostenibilidad industrial</w:t>
      </w:r>
      <w:r w:rsidR="00A87A6F">
        <w:rPr>
          <w:rFonts w:ascii="Rubik" w:eastAsia="Rubik" w:hAnsi="Rubik" w:cs="Rubik"/>
          <w:sz w:val="21"/>
          <w:szCs w:val="21"/>
        </w:rPr>
        <w:t xml:space="preserve">. </w:t>
      </w:r>
    </w:p>
    <w:p w14:paraId="6F9C8483" w14:textId="77C5D36E" w:rsidR="00A87A6F" w:rsidRDefault="00A87A6F" w:rsidP="00A87A6F">
      <w:pPr>
        <w:spacing w:line="278" w:lineRule="auto"/>
        <w:rPr>
          <w:rFonts w:ascii="Rubik" w:eastAsia="Rubik" w:hAnsi="Rubik" w:cs="Rubik"/>
          <w:sz w:val="21"/>
          <w:szCs w:val="21"/>
        </w:rPr>
      </w:pPr>
      <w:proofErr w:type="spellStart"/>
      <w:r w:rsidRPr="00A87A6F">
        <w:rPr>
          <w:rFonts w:ascii="Rubik" w:eastAsia="Rubik" w:hAnsi="Rubik" w:cs="Rubik"/>
          <w:sz w:val="21"/>
          <w:szCs w:val="21"/>
        </w:rPr>
        <w:t>Magnon</w:t>
      </w:r>
      <w:proofErr w:type="spellEnd"/>
      <w:r>
        <w:rPr>
          <w:rFonts w:ascii="Rubik" w:eastAsia="Rubik" w:hAnsi="Rubik" w:cs="Rubik"/>
          <w:sz w:val="21"/>
          <w:szCs w:val="21"/>
        </w:rPr>
        <w:t xml:space="preserve"> apuesta firmemente por la descarbonización de la industria ofreciendo </w:t>
      </w:r>
      <w:r w:rsidRPr="00A87A6F">
        <w:rPr>
          <w:rFonts w:ascii="Rubik" w:eastAsia="Rubik" w:hAnsi="Rubik" w:cs="Rubik"/>
          <w:sz w:val="21"/>
          <w:szCs w:val="21"/>
        </w:rPr>
        <w:t>soluciones integrales para la generación de energía térmica renovable con biomasa. La compañía suma una trayectoria de más de 20 años en la producción de energía con biomasa, que en los últimos años ha puesto al servicio de la industria para ofrecer un</w:t>
      </w:r>
      <w:r>
        <w:rPr>
          <w:rFonts w:ascii="Rubik" w:eastAsia="Rubik" w:hAnsi="Rubik" w:cs="Rubik"/>
          <w:sz w:val="21"/>
          <w:szCs w:val="21"/>
        </w:rPr>
        <w:t>a</w:t>
      </w:r>
      <w:r w:rsidRPr="00A87A6F">
        <w:rPr>
          <w:rFonts w:ascii="Rubik" w:eastAsia="Rubik" w:hAnsi="Rubik" w:cs="Rubik"/>
          <w:sz w:val="21"/>
          <w:szCs w:val="21"/>
        </w:rPr>
        <w:t xml:space="preserve"> solución de descarbonización integral. En la actualidad trabaja con compañías referentes en el sector agroalimentario para descarbonizar sus procesos industriales. </w:t>
      </w:r>
    </w:p>
    <w:p w14:paraId="386AD238" w14:textId="7912473A" w:rsidR="00E3082A" w:rsidRPr="00A26225" w:rsidRDefault="00A87A6F" w:rsidP="00E3082A">
      <w:pPr>
        <w:spacing w:line="278" w:lineRule="auto"/>
        <w:jc w:val="both"/>
        <w:rPr>
          <w:rFonts w:ascii="Rubik" w:eastAsia="Rubik" w:hAnsi="Rubik" w:cs="Rubik"/>
          <w:sz w:val="21"/>
          <w:szCs w:val="21"/>
        </w:rPr>
      </w:pPr>
      <w:r>
        <w:rPr>
          <w:rFonts w:ascii="Rubik" w:eastAsia="Rubik" w:hAnsi="Rubik" w:cs="Rubik"/>
          <w:sz w:val="21"/>
          <w:szCs w:val="21"/>
        </w:rPr>
        <w:t xml:space="preserve">La </w:t>
      </w:r>
      <w:r w:rsidR="00E3082A" w:rsidRPr="00A26225">
        <w:rPr>
          <w:rFonts w:ascii="Rubik" w:eastAsia="Rubik" w:hAnsi="Rubik" w:cs="Rubik"/>
          <w:sz w:val="21"/>
          <w:szCs w:val="21"/>
        </w:rPr>
        <w:t xml:space="preserve">estrategia de descarbonización </w:t>
      </w:r>
      <w:r>
        <w:rPr>
          <w:rFonts w:ascii="Rubik" w:eastAsia="Rubik" w:hAnsi="Rubik" w:cs="Rubik"/>
          <w:sz w:val="21"/>
          <w:szCs w:val="21"/>
        </w:rPr>
        <w:t xml:space="preserve">de Lactalis España </w:t>
      </w:r>
      <w:r w:rsidR="00E3082A" w:rsidRPr="00A26225">
        <w:rPr>
          <w:rFonts w:ascii="Rubik" w:eastAsia="Rubik" w:hAnsi="Rubik" w:cs="Rubik"/>
          <w:sz w:val="21"/>
          <w:szCs w:val="21"/>
        </w:rPr>
        <w:t xml:space="preserve">se está construyendo en diferentes </w:t>
      </w:r>
      <w:r w:rsidR="00E3082A">
        <w:rPr>
          <w:rFonts w:ascii="Rubik" w:eastAsia="Rubik" w:hAnsi="Rubik" w:cs="Rubik"/>
          <w:sz w:val="21"/>
          <w:szCs w:val="21"/>
        </w:rPr>
        <w:t>etapas</w:t>
      </w:r>
      <w:r w:rsidR="00E3082A" w:rsidRPr="00A26225">
        <w:rPr>
          <w:rFonts w:ascii="Rubik" w:eastAsia="Rubik" w:hAnsi="Rubik" w:cs="Rubik"/>
          <w:sz w:val="21"/>
          <w:szCs w:val="21"/>
        </w:rPr>
        <w:t>:</w:t>
      </w:r>
    </w:p>
    <w:p w14:paraId="750F7AC5" w14:textId="77777777" w:rsidR="00E3082A" w:rsidRDefault="00E3082A" w:rsidP="00E3082A">
      <w:pPr>
        <w:pStyle w:val="Prrafodelista"/>
        <w:numPr>
          <w:ilvl w:val="0"/>
          <w:numId w:val="6"/>
        </w:numPr>
        <w:spacing w:line="278" w:lineRule="auto"/>
        <w:jc w:val="both"/>
        <w:rPr>
          <w:rFonts w:ascii="Rubik" w:eastAsia="Rubik" w:hAnsi="Rubik" w:cs="Rubik"/>
          <w:sz w:val="21"/>
          <w:szCs w:val="21"/>
        </w:rPr>
      </w:pPr>
      <w:r w:rsidRPr="00A26225">
        <w:rPr>
          <w:rFonts w:ascii="Rubik" w:eastAsia="Rubik" w:hAnsi="Rubik" w:cs="Rubik"/>
          <w:sz w:val="21"/>
          <w:szCs w:val="21"/>
        </w:rPr>
        <w:t>Primero, un cambio de energía del gasoil a gas natural en Granada en 2020</w:t>
      </w:r>
      <w:r>
        <w:rPr>
          <w:rFonts w:ascii="Rubik" w:eastAsia="Rubik" w:hAnsi="Rubik" w:cs="Rubik"/>
          <w:sz w:val="21"/>
          <w:szCs w:val="21"/>
        </w:rPr>
        <w:t>. E</w:t>
      </w:r>
      <w:r w:rsidRPr="00A26225">
        <w:rPr>
          <w:rFonts w:ascii="Rubik" w:eastAsia="Rubik" w:hAnsi="Rubik" w:cs="Rubik"/>
          <w:sz w:val="21"/>
          <w:szCs w:val="21"/>
        </w:rPr>
        <w:t xml:space="preserve">sa iniciativa permitió reducir un 88% las emisiones de Co2 en Granada vs 2019. </w:t>
      </w:r>
    </w:p>
    <w:p w14:paraId="6DE5BBE5" w14:textId="77777777" w:rsidR="00E3082A" w:rsidRDefault="00E3082A" w:rsidP="00E3082A">
      <w:pPr>
        <w:pStyle w:val="Prrafodelista"/>
        <w:numPr>
          <w:ilvl w:val="0"/>
          <w:numId w:val="6"/>
        </w:numPr>
        <w:spacing w:line="278" w:lineRule="auto"/>
        <w:jc w:val="both"/>
        <w:rPr>
          <w:rFonts w:ascii="Rubik" w:eastAsia="Rubik" w:hAnsi="Rubik" w:cs="Rubik"/>
          <w:sz w:val="21"/>
          <w:szCs w:val="21"/>
        </w:rPr>
      </w:pPr>
      <w:r w:rsidRPr="00A26225">
        <w:rPr>
          <w:rFonts w:ascii="Rubik" w:eastAsia="Rubik" w:hAnsi="Rubik" w:cs="Rubik"/>
          <w:sz w:val="21"/>
          <w:szCs w:val="21"/>
        </w:rPr>
        <w:t xml:space="preserve">Luego, avances para usar energía eléctrica de origen renovable: </w:t>
      </w:r>
    </w:p>
    <w:p w14:paraId="2166226D" w14:textId="77777777" w:rsidR="00E3082A" w:rsidRDefault="00E3082A" w:rsidP="00E3082A">
      <w:pPr>
        <w:pStyle w:val="Prrafodelista"/>
        <w:numPr>
          <w:ilvl w:val="1"/>
          <w:numId w:val="6"/>
        </w:numPr>
        <w:spacing w:line="278" w:lineRule="auto"/>
        <w:jc w:val="both"/>
        <w:rPr>
          <w:rFonts w:ascii="Rubik" w:eastAsia="Rubik" w:hAnsi="Rubik" w:cs="Rubik"/>
          <w:sz w:val="21"/>
          <w:szCs w:val="21"/>
        </w:rPr>
      </w:pPr>
      <w:r>
        <w:rPr>
          <w:rFonts w:ascii="Rubik" w:eastAsia="Rubik" w:hAnsi="Rubik" w:cs="Rubik"/>
          <w:sz w:val="21"/>
          <w:szCs w:val="21"/>
        </w:rPr>
        <w:t>E</w:t>
      </w:r>
      <w:r w:rsidRPr="00A26225">
        <w:rPr>
          <w:rFonts w:ascii="Rubik" w:eastAsia="Rubik" w:hAnsi="Rubik" w:cs="Rubik"/>
          <w:sz w:val="21"/>
          <w:szCs w:val="21"/>
        </w:rPr>
        <w:t xml:space="preserve">n 2019, se firmó un acuerdo PPA con </w:t>
      </w:r>
      <w:proofErr w:type="spellStart"/>
      <w:r w:rsidRPr="00A26225">
        <w:rPr>
          <w:rFonts w:ascii="Rubik" w:eastAsia="Rubik" w:hAnsi="Rubik" w:cs="Rubik"/>
          <w:sz w:val="21"/>
          <w:szCs w:val="21"/>
        </w:rPr>
        <w:t>Engie</w:t>
      </w:r>
      <w:proofErr w:type="spellEnd"/>
      <w:r w:rsidRPr="00A26225">
        <w:rPr>
          <w:rFonts w:ascii="Rubik" w:eastAsia="Rubik" w:hAnsi="Rubik" w:cs="Rubik"/>
          <w:sz w:val="21"/>
          <w:szCs w:val="21"/>
        </w:rPr>
        <w:t xml:space="preserve"> para cubrir al menos el 50% de la demanda eléctrica anual de origen renovable en las instalaciones de la compañía. </w:t>
      </w:r>
    </w:p>
    <w:p w14:paraId="6643682B" w14:textId="77777777" w:rsidR="00E3082A" w:rsidRPr="00A26225" w:rsidRDefault="00E3082A" w:rsidP="00E3082A">
      <w:pPr>
        <w:pStyle w:val="Prrafodelista"/>
        <w:numPr>
          <w:ilvl w:val="1"/>
          <w:numId w:val="6"/>
        </w:numPr>
        <w:spacing w:line="278" w:lineRule="auto"/>
        <w:jc w:val="both"/>
        <w:rPr>
          <w:rFonts w:ascii="Rubik" w:eastAsia="Rubik" w:hAnsi="Rubik" w:cs="Rubik"/>
          <w:sz w:val="21"/>
          <w:szCs w:val="21"/>
        </w:rPr>
      </w:pPr>
      <w:r w:rsidRPr="00A26225">
        <w:rPr>
          <w:rFonts w:ascii="Rubik" w:eastAsia="Rubik" w:hAnsi="Rubik" w:cs="Rubik"/>
          <w:sz w:val="21"/>
          <w:szCs w:val="21"/>
        </w:rPr>
        <w:t xml:space="preserve">También, se pusieron en marcha plantas fotovoltaicas desde 2021 en Granada, Villarrobledo, </w:t>
      </w:r>
      <w:proofErr w:type="spellStart"/>
      <w:r w:rsidRPr="00A26225">
        <w:rPr>
          <w:rFonts w:ascii="Rubik" w:eastAsia="Rubik" w:hAnsi="Rubik" w:cs="Rubik"/>
          <w:sz w:val="21"/>
          <w:szCs w:val="21"/>
        </w:rPr>
        <w:t>Marchamalo</w:t>
      </w:r>
      <w:proofErr w:type="spellEnd"/>
      <w:r w:rsidRPr="00A26225">
        <w:rPr>
          <w:rFonts w:ascii="Rubik" w:eastAsia="Rubik" w:hAnsi="Rubik" w:cs="Rubik"/>
          <w:sz w:val="21"/>
          <w:szCs w:val="21"/>
        </w:rPr>
        <w:t xml:space="preserve"> (Guadalajara) y Mollerussa, que ya cubren entre el 10% y el 23% del consumo de energía eléctrica de cada planta.</w:t>
      </w:r>
    </w:p>
    <w:p w14:paraId="430018C8" w14:textId="77777777" w:rsidR="00E3082A" w:rsidRDefault="00E3082A" w:rsidP="00E3082A">
      <w:pPr>
        <w:pStyle w:val="Prrafodelista"/>
        <w:numPr>
          <w:ilvl w:val="0"/>
          <w:numId w:val="6"/>
        </w:numPr>
        <w:spacing w:line="278" w:lineRule="auto"/>
        <w:jc w:val="both"/>
        <w:rPr>
          <w:rFonts w:ascii="Rubik" w:eastAsia="Rubik" w:hAnsi="Rubik" w:cs="Rubik"/>
          <w:sz w:val="21"/>
          <w:szCs w:val="21"/>
        </w:rPr>
      </w:pPr>
      <w:r w:rsidRPr="00A26225">
        <w:rPr>
          <w:rFonts w:ascii="Rubik" w:eastAsia="Rubik" w:hAnsi="Rubik" w:cs="Rubik"/>
          <w:sz w:val="21"/>
          <w:szCs w:val="21"/>
        </w:rPr>
        <w:t xml:space="preserve">Ahora, esta nueva iniciativa permite seguir avanzando en la estrategia de descarbonización buscando fuentes renovables a la energía térmica que se necesita en todas las plantas. </w:t>
      </w:r>
    </w:p>
    <w:p w14:paraId="75C37E5B" w14:textId="77777777" w:rsidR="00E3082A" w:rsidRPr="00A26225" w:rsidRDefault="00E3082A" w:rsidP="00E3082A">
      <w:pPr>
        <w:pStyle w:val="Prrafodelista"/>
        <w:numPr>
          <w:ilvl w:val="0"/>
          <w:numId w:val="6"/>
        </w:numPr>
        <w:spacing w:line="278" w:lineRule="auto"/>
        <w:jc w:val="both"/>
        <w:rPr>
          <w:rFonts w:ascii="Rubik" w:eastAsia="Rubik" w:hAnsi="Rubik" w:cs="Rubik"/>
          <w:sz w:val="21"/>
          <w:szCs w:val="21"/>
        </w:rPr>
      </w:pPr>
      <w:r w:rsidRPr="00A26225">
        <w:rPr>
          <w:rFonts w:ascii="Rubik" w:eastAsia="Rubik" w:hAnsi="Rubik" w:cs="Rubik"/>
          <w:sz w:val="21"/>
          <w:szCs w:val="21"/>
        </w:rPr>
        <w:lastRenderedPageBreak/>
        <w:t xml:space="preserve">Además, Lactalis España </w:t>
      </w:r>
      <w:r>
        <w:rPr>
          <w:rFonts w:ascii="Rubik" w:eastAsia="Rubik" w:hAnsi="Rubik" w:cs="Rubik"/>
          <w:sz w:val="21"/>
          <w:szCs w:val="21"/>
        </w:rPr>
        <w:t>es parte de</w:t>
      </w:r>
      <w:r w:rsidRPr="00A26225">
        <w:rPr>
          <w:rFonts w:ascii="Rubik" w:eastAsia="Rubik" w:hAnsi="Rubik" w:cs="Rubik"/>
          <w:sz w:val="21"/>
          <w:szCs w:val="21"/>
        </w:rPr>
        <w:t xml:space="preserve"> la Alianza Q-Cero, impulsada por Iberdrola, para acelerar la descarbonización térmica en la industria.</w:t>
      </w:r>
    </w:p>
    <w:p w14:paraId="67D350C2" w14:textId="77777777" w:rsidR="00E3082A" w:rsidRPr="000B7BF9" w:rsidRDefault="00E3082A" w:rsidP="00E3082A">
      <w:pPr>
        <w:spacing w:line="278" w:lineRule="auto"/>
        <w:jc w:val="both"/>
        <w:rPr>
          <w:rFonts w:ascii="Rubik" w:eastAsia="Rubik" w:hAnsi="Rubik" w:cs="Rubik"/>
          <w:b/>
          <w:bCs/>
          <w:sz w:val="21"/>
          <w:szCs w:val="21"/>
        </w:rPr>
      </w:pPr>
      <w:r>
        <w:rPr>
          <w:rFonts w:ascii="Rubik" w:eastAsia="Rubik" w:hAnsi="Rubik" w:cs="Rubik"/>
          <w:sz w:val="21"/>
          <w:szCs w:val="21"/>
        </w:rPr>
        <w:br/>
      </w:r>
      <w:r w:rsidRPr="000B7BF9">
        <w:rPr>
          <w:rFonts w:ascii="Rubik" w:eastAsia="Rubik" w:hAnsi="Rubik" w:cs="Rubik"/>
          <w:sz w:val="21"/>
          <w:szCs w:val="21"/>
        </w:rPr>
        <w:t>Con estas acciones, Lactalis reafirma su compromiso con una industria láctea más sostenible, eficiente y conectada con los territorios.</w:t>
      </w:r>
    </w:p>
    <w:p w14:paraId="30CE0B4D" w14:textId="77777777" w:rsidR="00E3082A" w:rsidRPr="00FA3787" w:rsidRDefault="00E3082A" w:rsidP="00E3082A">
      <w:pPr>
        <w:spacing w:after="0" w:line="264" w:lineRule="auto"/>
        <w:jc w:val="both"/>
        <w:rPr>
          <w:rFonts w:ascii="Rubik" w:hAnsi="Rubik"/>
        </w:rPr>
      </w:pPr>
      <w:r w:rsidRPr="004D023E">
        <w:rPr>
          <w:rFonts w:ascii="Rubik" w:eastAsia="Rubik" w:hAnsi="Rubik" w:cs="Rubik"/>
          <w:b/>
          <w:sz w:val="18"/>
          <w:szCs w:val="18"/>
        </w:rPr>
        <w:t xml:space="preserve">Acceso directo al informe de Responsabilidad Social Corporativa de Lactalis España 2024: </w:t>
      </w:r>
      <w:hyperlink r:id="rId8" w:history="1">
        <w:r w:rsidRPr="00FA3787">
          <w:rPr>
            <w:rStyle w:val="Hipervnculo"/>
            <w:rFonts w:ascii="Rubik" w:eastAsia="Rubik" w:hAnsi="Rubik" w:cs="Rubik"/>
            <w:sz w:val="19"/>
            <w:szCs w:val="19"/>
          </w:rPr>
          <w:t>https://www.lactalis.es/compromiso/informe-rsc/</w:t>
        </w:r>
      </w:hyperlink>
    </w:p>
    <w:p w14:paraId="668F2B59" w14:textId="77777777" w:rsidR="002C0F36" w:rsidRDefault="002C0F36" w:rsidP="00FA3787">
      <w:pPr>
        <w:spacing w:after="0" w:line="264" w:lineRule="auto"/>
        <w:jc w:val="both"/>
        <w:rPr>
          <w:rFonts w:ascii="Rubik" w:eastAsia="Rubik" w:hAnsi="Rubik" w:cs="Rubik"/>
          <w:sz w:val="19"/>
          <w:szCs w:val="19"/>
        </w:rPr>
      </w:pPr>
    </w:p>
    <w:p w14:paraId="303CDBC3" w14:textId="77777777" w:rsidR="00F07DE1" w:rsidRPr="00FA3787" w:rsidRDefault="00F07DE1" w:rsidP="00FA3787">
      <w:pPr>
        <w:spacing w:after="0" w:line="264" w:lineRule="auto"/>
        <w:jc w:val="both"/>
        <w:rPr>
          <w:rFonts w:ascii="Rubik" w:eastAsia="Rubik" w:hAnsi="Rubik" w:cs="Rubik"/>
          <w:sz w:val="19"/>
          <w:szCs w:val="19"/>
        </w:rPr>
      </w:pPr>
    </w:p>
    <w:p w14:paraId="1E02A043" w14:textId="77777777"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br/>
        <w:t>Sobre LACTALIS ESPAÑA</w:t>
      </w:r>
      <w:r w:rsidRPr="00FA3787">
        <w:rPr>
          <w:rFonts w:ascii="Rubik" w:hAnsi="Rubik"/>
          <w:noProof/>
        </w:rPr>
        <w:drawing>
          <wp:anchor distT="0" distB="0" distL="114300" distR="114300" simplePos="0" relativeHeight="251658240" behindDoc="0" locked="0" layoutInCell="1" hidden="0" allowOverlap="1" wp14:anchorId="1E02A053" wp14:editId="1E02A054">
            <wp:simplePos x="0" y="0"/>
            <wp:positionH relativeFrom="column">
              <wp:posOffset>-21589</wp:posOffset>
            </wp:positionH>
            <wp:positionV relativeFrom="paragraph">
              <wp:posOffset>33020</wp:posOffset>
            </wp:positionV>
            <wp:extent cx="1973751" cy="99069"/>
            <wp:effectExtent l="0" t="0" r="0" b="0"/>
            <wp:wrapSquare wrapText="bothSides" distT="0" distB="0" distL="114300" distR="114300"/>
            <wp:docPr id="10988573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73751" cy="99069"/>
                    </a:xfrm>
                    <a:prstGeom prst="rect">
                      <a:avLst/>
                    </a:prstGeom>
                    <a:ln/>
                  </pic:spPr>
                </pic:pic>
              </a:graphicData>
            </a:graphic>
          </wp:anchor>
        </w:drawing>
      </w:r>
    </w:p>
    <w:p w14:paraId="1E02A044" w14:textId="77777777" w:rsidR="00C63326" w:rsidRPr="00FA3787" w:rsidRDefault="00C63326" w:rsidP="00FA3787">
      <w:pPr>
        <w:spacing w:after="0" w:line="264" w:lineRule="auto"/>
        <w:jc w:val="both"/>
        <w:rPr>
          <w:rFonts w:ascii="Rubik" w:eastAsia="Rubik" w:hAnsi="Rubik" w:cs="Rubik"/>
          <w:b/>
          <w:color w:val="002060"/>
          <w:sz w:val="18"/>
          <w:szCs w:val="18"/>
        </w:rPr>
      </w:pPr>
    </w:p>
    <w:p w14:paraId="1941E5A0" w14:textId="0D9084EF" w:rsidR="008878C3" w:rsidRPr="00FA3787" w:rsidRDefault="005B7479" w:rsidP="008878C3">
      <w:pPr>
        <w:spacing w:after="0" w:line="264" w:lineRule="auto"/>
        <w:jc w:val="both"/>
        <w:rPr>
          <w:rFonts w:ascii="Rubik" w:hAnsi="Rubik"/>
        </w:rPr>
      </w:pPr>
      <w:r w:rsidRPr="008D46CC">
        <w:rPr>
          <w:rFonts w:ascii="Rubik" w:eastAsia="Rubik" w:hAnsi="Rubik" w:cs="Rubik"/>
          <w:color w:val="002060"/>
          <w:sz w:val="18"/>
          <w:szCs w:val="18"/>
        </w:rPr>
        <w:t xml:space="preserve">Lactalis España es líder del sector lácteo y uno de los principales motores del tejido </w:t>
      </w:r>
      <w:r>
        <w:rPr>
          <w:rFonts w:ascii="Rubik" w:eastAsia="Rubik" w:hAnsi="Rubik" w:cs="Rubik"/>
          <w:color w:val="002060"/>
          <w:sz w:val="18"/>
          <w:szCs w:val="18"/>
        </w:rPr>
        <w:t>socioeconómico español</w:t>
      </w:r>
      <w:r w:rsidRPr="008D46CC">
        <w:rPr>
          <w:rFonts w:ascii="Rubik" w:eastAsia="Rubik" w:hAnsi="Rubik" w:cs="Rubik"/>
          <w:color w:val="002060"/>
          <w:sz w:val="18"/>
          <w:szCs w:val="18"/>
        </w:rPr>
        <w:t xml:space="preserve">, con una contribución directa </w:t>
      </w:r>
      <w:r>
        <w:rPr>
          <w:rFonts w:ascii="Rubik" w:eastAsia="Rubik" w:hAnsi="Rubik" w:cs="Rubik"/>
          <w:color w:val="002060"/>
          <w:sz w:val="18"/>
          <w:szCs w:val="18"/>
        </w:rPr>
        <w:t>superior a</w:t>
      </w:r>
      <w:r w:rsidRPr="008D46CC">
        <w:rPr>
          <w:rFonts w:ascii="Rubik" w:eastAsia="Rubik" w:hAnsi="Rubik" w:cs="Rubik"/>
          <w:color w:val="002060"/>
          <w:sz w:val="18"/>
          <w:szCs w:val="18"/>
        </w:rPr>
        <w:t xml:space="preserve"> 1</w:t>
      </w:r>
      <w:r>
        <w:rPr>
          <w:rFonts w:ascii="Rubik" w:eastAsia="Rubik" w:hAnsi="Rubik" w:cs="Rubik"/>
          <w:color w:val="002060"/>
          <w:sz w:val="18"/>
          <w:szCs w:val="18"/>
        </w:rPr>
        <w:t xml:space="preserve"> </w:t>
      </w:r>
      <w:r w:rsidRPr="008D46CC">
        <w:rPr>
          <w:rFonts w:ascii="Rubik" w:eastAsia="Rubik" w:hAnsi="Rubik" w:cs="Rubik"/>
          <w:color w:val="002060"/>
          <w:sz w:val="18"/>
          <w:szCs w:val="18"/>
        </w:rPr>
        <w:t>000 millones de euros en 2024. Cuenta con 8 plantas</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—6 en municipios de menos de 25.000 habitantes— y 2.617 profesionales, el 93,8 % con contrato indefinido. Colabora con 1.458 ganaderías en 13 comunidades autónomas, </w:t>
      </w:r>
      <w:r>
        <w:rPr>
          <w:rFonts w:ascii="Rubik" w:eastAsia="Rubik" w:hAnsi="Rubik" w:cs="Rubik"/>
          <w:color w:val="002060"/>
          <w:sz w:val="18"/>
          <w:szCs w:val="18"/>
        </w:rPr>
        <w:t>a</w:t>
      </w:r>
      <w:r w:rsidRPr="008D46CC">
        <w:rPr>
          <w:rFonts w:ascii="Rubik" w:eastAsia="Rubik" w:hAnsi="Rubik" w:cs="Rubik"/>
          <w:color w:val="002060"/>
          <w:sz w:val="18"/>
          <w:szCs w:val="18"/>
        </w:rPr>
        <w:t xml:space="preserve"> las que recogió 993 millones de litros de leche, el 97,7 % con certificación en Bienestar Animal.</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Sus marcas —Puleva, </w:t>
      </w:r>
      <w:proofErr w:type="spellStart"/>
      <w:r w:rsidRPr="008D46CC">
        <w:rPr>
          <w:rFonts w:ascii="Rubik" w:eastAsia="Rubik" w:hAnsi="Rubik" w:cs="Rubik"/>
          <w:color w:val="002060"/>
          <w:sz w:val="18"/>
          <w:szCs w:val="18"/>
        </w:rPr>
        <w:t>Président</w:t>
      </w:r>
      <w:proofErr w:type="spellEnd"/>
      <w:r w:rsidRPr="008D46CC">
        <w:rPr>
          <w:rFonts w:ascii="Rubik" w:eastAsia="Rubik" w:hAnsi="Rubik" w:cs="Rubik"/>
          <w:color w:val="002060"/>
          <w:sz w:val="18"/>
          <w:szCs w:val="18"/>
        </w:rPr>
        <w:t xml:space="preserve">, </w:t>
      </w:r>
      <w:proofErr w:type="spellStart"/>
      <w:r w:rsidRPr="008D46CC">
        <w:rPr>
          <w:rFonts w:ascii="Rubik" w:eastAsia="Rubik" w:hAnsi="Rubik" w:cs="Rubik"/>
          <w:color w:val="002060"/>
          <w:sz w:val="18"/>
          <w:szCs w:val="18"/>
        </w:rPr>
        <w:t>Galbani</w:t>
      </w:r>
      <w:proofErr w:type="spellEnd"/>
      <w:r w:rsidRPr="008D46CC">
        <w:rPr>
          <w:rFonts w:ascii="Rubik" w:eastAsia="Rubik" w:hAnsi="Rubik" w:cs="Rubik"/>
          <w:color w:val="002060"/>
          <w:sz w:val="18"/>
          <w:szCs w:val="18"/>
        </w:rPr>
        <w:t xml:space="preserve">, Flor de Esgueva, El Ventero o Chufi—, junto con las gestionadas por la </w:t>
      </w:r>
      <w:proofErr w:type="spellStart"/>
      <w:proofErr w:type="gramStart"/>
      <w:r w:rsidRPr="008D46CC">
        <w:rPr>
          <w:rFonts w:ascii="Rubik" w:eastAsia="Rubik" w:hAnsi="Rubik" w:cs="Rubik"/>
          <w:color w:val="002060"/>
          <w:sz w:val="18"/>
          <w:szCs w:val="18"/>
        </w:rPr>
        <w:t>joint</w:t>
      </w:r>
      <w:proofErr w:type="spellEnd"/>
      <w:r w:rsidRPr="008D46CC">
        <w:rPr>
          <w:rFonts w:ascii="Rubik" w:eastAsia="Rubik" w:hAnsi="Rubik" w:cs="Rubik"/>
          <w:color w:val="002060"/>
          <w:sz w:val="18"/>
          <w:szCs w:val="18"/>
        </w:rPr>
        <w:t>-venture</w:t>
      </w:r>
      <w:proofErr w:type="gramEnd"/>
      <w:r w:rsidRPr="008D46CC">
        <w:rPr>
          <w:rFonts w:ascii="Rubik" w:eastAsia="Rubik" w:hAnsi="Rubik" w:cs="Rubik"/>
          <w:color w:val="002060"/>
          <w:sz w:val="18"/>
          <w:szCs w:val="18"/>
        </w:rPr>
        <w:t xml:space="preserve"> Lactalis Nestlé —Yogures Nestlé, La Lechera, </w:t>
      </w:r>
      <w:proofErr w:type="spellStart"/>
      <w:r w:rsidRPr="008D46CC">
        <w:rPr>
          <w:rFonts w:ascii="Rubik" w:eastAsia="Rubik" w:hAnsi="Rubik" w:cs="Rubik"/>
          <w:color w:val="002060"/>
          <w:sz w:val="18"/>
          <w:szCs w:val="18"/>
        </w:rPr>
        <w:t>Nescafé</w:t>
      </w:r>
      <w:proofErr w:type="spellEnd"/>
      <w:r w:rsidRPr="008D46CC">
        <w:rPr>
          <w:rFonts w:ascii="Rubik" w:eastAsia="Rubik" w:hAnsi="Rubik" w:cs="Rubik"/>
          <w:color w:val="002060"/>
          <w:sz w:val="18"/>
          <w:szCs w:val="18"/>
        </w:rPr>
        <w:t xml:space="preserve"> </w:t>
      </w:r>
      <w:proofErr w:type="spellStart"/>
      <w:r w:rsidRPr="008D46CC">
        <w:rPr>
          <w:rFonts w:ascii="Rubik" w:eastAsia="Rubik" w:hAnsi="Rubik" w:cs="Rubik"/>
          <w:color w:val="002060"/>
          <w:sz w:val="18"/>
          <w:szCs w:val="18"/>
        </w:rPr>
        <w:t>Latte</w:t>
      </w:r>
      <w:proofErr w:type="spellEnd"/>
      <w:r w:rsidRPr="008D46CC">
        <w:rPr>
          <w:rFonts w:ascii="Rubik" w:eastAsia="Rubik" w:hAnsi="Rubik" w:cs="Rubik"/>
          <w:color w:val="002060"/>
          <w:sz w:val="18"/>
          <w:szCs w:val="18"/>
        </w:rPr>
        <w:t xml:space="preserve"> o YAOS—, están presentes en más de 12 millones de hogares. </w:t>
      </w:r>
      <w:r w:rsidRPr="006D199A">
        <w:rPr>
          <w:rFonts w:ascii="Rubik" w:eastAsia="Rubik" w:hAnsi="Rubik" w:cs="Rubik"/>
          <w:color w:val="002060"/>
          <w:sz w:val="18"/>
          <w:szCs w:val="18"/>
        </w:rPr>
        <w:t xml:space="preserve">Su actividad se estructura en unidades de negocio especializadas: Lactalis Puleva (leche y </w:t>
      </w:r>
      <w:r>
        <w:rPr>
          <w:rFonts w:ascii="Rubik" w:eastAsia="Rubik" w:hAnsi="Rubik" w:cs="Rubik"/>
          <w:color w:val="002060"/>
          <w:sz w:val="18"/>
          <w:szCs w:val="18"/>
        </w:rPr>
        <w:t>bebidas lácteas</w:t>
      </w:r>
      <w:r w:rsidRPr="006D199A">
        <w:rPr>
          <w:rFonts w:ascii="Rubik" w:eastAsia="Rubik" w:hAnsi="Rubik" w:cs="Rubik"/>
          <w:color w:val="002060"/>
          <w:sz w:val="18"/>
          <w:szCs w:val="18"/>
        </w:rPr>
        <w:t xml:space="preserve">), Lactalis </w:t>
      </w:r>
      <w:proofErr w:type="spellStart"/>
      <w:r w:rsidRPr="006D199A">
        <w:rPr>
          <w:rFonts w:ascii="Rubik" w:eastAsia="Rubik" w:hAnsi="Rubik" w:cs="Rubik"/>
          <w:color w:val="002060"/>
          <w:sz w:val="18"/>
          <w:szCs w:val="18"/>
        </w:rPr>
        <w:t>Forlasa</w:t>
      </w:r>
      <w:proofErr w:type="spellEnd"/>
      <w:r w:rsidRPr="006D199A">
        <w:rPr>
          <w:rFonts w:ascii="Rubik" w:eastAsia="Rubik" w:hAnsi="Rubik" w:cs="Rubik"/>
          <w:color w:val="002060"/>
          <w:sz w:val="18"/>
          <w:szCs w:val="18"/>
        </w:rPr>
        <w:t xml:space="preserve"> (quesos), Lactalis </w:t>
      </w:r>
      <w:proofErr w:type="spellStart"/>
      <w:r w:rsidRPr="006D199A">
        <w:rPr>
          <w:rFonts w:ascii="Rubik" w:eastAsia="Rubik" w:hAnsi="Rubik" w:cs="Rubik"/>
          <w:color w:val="002060"/>
          <w:sz w:val="18"/>
          <w:szCs w:val="18"/>
        </w:rPr>
        <w:t>Foodservice</w:t>
      </w:r>
      <w:proofErr w:type="spellEnd"/>
      <w:r w:rsidRPr="006D199A">
        <w:rPr>
          <w:rFonts w:ascii="Rubik" w:eastAsia="Rubik" w:hAnsi="Rubik" w:cs="Rubik"/>
          <w:color w:val="002060"/>
          <w:sz w:val="18"/>
          <w:szCs w:val="18"/>
        </w:rPr>
        <w:t xml:space="preserve"> (canal profesional), Lactalis Nutrición (</w:t>
      </w:r>
      <w:r>
        <w:rPr>
          <w:rFonts w:ascii="Rubik" w:eastAsia="Rubik" w:hAnsi="Rubik" w:cs="Rubik"/>
          <w:color w:val="002060"/>
          <w:sz w:val="18"/>
          <w:szCs w:val="18"/>
        </w:rPr>
        <w:t>nutrición</w:t>
      </w:r>
      <w:r w:rsidRPr="006D199A">
        <w:rPr>
          <w:rFonts w:ascii="Rubik" w:eastAsia="Rubik" w:hAnsi="Rubik" w:cs="Rubik"/>
          <w:color w:val="002060"/>
          <w:sz w:val="18"/>
          <w:szCs w:val="18"/>
        </w:rPr>
        <w:t xml:space="preserve"> </w:t>
      </w:r>
      <w:r>
        <w:rPr>
          <w:rFonts w:ascii="Rubik" w:eastAsia="Rubik" w:hAnsi="Rubik" w:cs="Rubik"/>
          <w:color w:val="002060"/>
          <w:sz w:val="18"/>
          <w:szCs w:val="18"/>
        </w:rPr>
        <w:t>infantil</w:t>
      </w:r>
      <w:r w:rsidRPr="006D199A">
        <w:rPr>
          <w:rFonts w:ascii="Rubik" w:eastAsia="Rubik" w:hAnsi="Rubik" w:cs="Rubik"/>
          <w:color w:val="002060"/>
          <w:sz w:val="18"/>
          <w:szCs w:val="18"/>
        </w:rPr>
        <w:t xml:space="preserve"> y </w:t>
      </w:r>
      <w:r>
        <w:rPr>
          <w:rFonts w:ascii="Rubik" w:eastAsia="Rubik" w:hAnsi="Rubik" w:cs="Rubik"/>
          <w:color w:val="002060"/>
          <w:sz w:val="18"/>
          <w:szCs w:val="18"/>
        </w:rPr>
        <w:t>clínica</w:t>
      </w:r>
      <w:r w:rsidRPr="006D199A">
        <w:rPr>
          <w:rFonts w:ascii="Rubik" w:eastAsia="Rubik" w:hAnsi="Rubik" w:cs="Rubik"/>
          <w:color w:val="002060"/>
          <w:sz w:val="18"/>
          <w:szCs w:val="18"/>
        </w:rPr>
        <w:t xml:space="preserve">) y la </w:t>
      </w:r>
      <w:proofErr w:type="spellStart"/>
      <w:proofErr w:type="gramStart"/>
      <w:r w:rsidRPr="006D199A">
        <w:rPr>
          <w:rFonts w:ascii="Rubik" w:eastAsia="Rubik" w:hAnsi="Rubik" w:cs="Rubik"/>
          <w:color w:val="002060"/>
          <w:sz w:val="18"/>
          <w:szCs w:val="18"/>
        </w:rPr>
        <w:t>joint</w:t>
      </w:r>
      <w:proofErr w:type="spellEnd"/>
      <w:r w:rsidRPr="006D199A">
        <w:rPr>
          <w:rFonts w:ascii="Rubik" w:eastAsia="Rubik" w:hAnsi="Rubik" w:cs="Rubik"/>
          <w:color w:val="002060"/>
          <w:sz w:val="18"/>
          <w:szCs w:val="18"/>
        </w:rPr>
        <w:t>-venture</w:t>
      </w:r>
      <w:proofErr w:type="gramEnd"/>
      <w:r w:rsidRPr="006D199A">
        <w:rPr>
          <w:rFonts w:ascii="Rubik" w:eastAsia="Rubik" w:hAnsi="Rubik" w:cs="Rubik"/>
          <w:color w:val="002060"/>
          <w:sz w:val="18"/>
          <w:szCs w:val="18"/>
        </w:rPr>
        <w:t xml:space="preserve"> Lactalis Nestlé (yogures y postres).</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Lactalis apuesta por la sostenibilidad en toda la cadena de valor láctea, la economía circular y la descarbonización, con objetivos climáticos validados por </w:t>
      </w:r>
      <w:proofErr w:type="spellStart"/>
      <w:r w:rsidRPr="008D46CC">
        <w:rPr>
          <w:rFonts w:ascii="Rubik" w:eastAsia="Rubik" w:hAnsi="Rubik" w:cs="Rubik"/>
          <w:color w:val="002060"/>
          <w:sz w:val="18"/>
          <w:szCs w:val="18"/>
        </w:rPr>
        <w:t>SBTi</w:t>
      </w:r>
      <w:proofErr w:type="spellEnd"/>
      <w:r w:rsidRPr="008D46CC">
        <w:rPr>
          <w:rFonts w:ascii="Rubik" w:eastAsia="Rubik" w:hAnsi="Rubik" w:cs="Rubik"/>
          <w:color w:val="002060"/>
          <w:sz w:val="18"/>
          <w:szCs w:val="18"/>
        </w:rPr>
        <w:t>.</w:t>
      </w:r>
      <w:r>
        <w:rPr>
          <w:rFonts w:ascii="Rubik" w:eastAsia="Rubik" w:hAnsi="Rubik" w:cs="Rubik"/>
          <w:color w:val="002060"/>
          <w:sz w:val="18"/>
          <w:szCs w:val="18"/>
        </w:rPr>
        <w:t xml:space="preserve"> </w:t>
      </w:r>
      <w:r w:rsidRPr="008D46CC">
        <w:rPr>
          <w:rFonts w:ascii="Rubik" w:eastAsia="Rubik" w:hAnsi="Rubik" w:cs="Rubik"/>
          <w:color w:val="002060"/>
          <w:sz w:val="18"/>
          <w:szCs w:val="18"/>
        </w:rPr>
        <w:t>Forma parte de</w:t>
      </w:r>
      <w:r>
        <w:rPr>
          <w:rFonts w:ascii="Rubik" w:eastAsia="Rubik" w:hAnsi="Rubik" w:cs="Rubik"/>
          <w:color w:val="002060"/>
          <w:sz w:val="18"/>
          <w:szCs w:val="18"/>
        </w:rPr>
        <w:t xml:space="preserve"> </w:t>
      </w:r>
      <w:r w:rsidRPr="008D46CC">
        <w:rPr>
          <w:rFonts w:ascii="Rubik" w:eastAsia="Rubik" w:hAnsi="Rubik" w:cs="Rubik"/>
          <w:color w:val="002060"/>
          <w:sz w:val="18"/>
          <w:szCs w:val="18"/>
        </w:rPr>
        <w:t>Lactalis, líder mundial del sector, presente en 150 países con más de 85.500 colaboradores y 266 centros de producción.</w:t>
      </w:r>
      <w:r>
        <w:rPr>
          <w:rFonts w:ascii="Rubik" w:eastAsia="Rubik" w:hAnsi="Rubik" w:cs="Rubik"/>
          <w:color w:val="002060"/>
          <w:sz w:val="18"/>
          <w:szCs w:val="18"/>
        </w:rPr>
        <w:t xml:space="preserve"> Más información en </w:t>
      </w:r>
      <w:hyperlink r:id="rId10">
        <w:r>
          <w:rPr>
            <w:rFonts w:ascii="Rubik" w:eastAsia="Rubik" w:hAnsi="Rubik" w:cs="Rubik"/>
            <w:color w:val="0000FF"/>
            <w:sz w:val="18"/>
            <w:szCs w:val="18"/>
            <w:u w:val="single"/>
          </w:rPr>
          <w:t>www.lactalis.es</w:t>
        </w:r>
      </w:hyperlink>
      <w:r w:rsidR="008878C3">
        <w:t xml:space="preserve">. </w:t>
      </w:r>
    </w:p>
    <w:p w14:paraId="621D827C" w14:textId="1012F921" w:rsidR="005B7479" w:rsidRPr="00CB5D57" w:rsidRDefault="005B7479" w:rsidP="005B7479">
      <w:pPr>
        <w:jc w:val="both"/>
        <w:rPr>
          <w:rFonts w:ascii="Rubik" w:eastAsia="Rubik" w:hAnsi="Rubik" w:cs="Rubik"/>
          <w:sz w:val="18"/>
          <w:szCs w:val="18"/>
        </w:rPr>
      </w:pPr>
    </w:p>
    <w:p w14:paraId="30C0B45B" w14:textId="19776EE8" w:rsidR="00A26225" w:rsidRPr="00FA3787" w:rsidRDefault="00A26225" w:rsidP="00A26225">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br/>
        <w:t xml:space="preserve">Sobre </w:t>
      </w:r>
      <w:r w:rsidR="00A87A6F" w:rsidRPr="003C7638">
        <w:rPr>
          <w:rFonts w:ascii="Rubik" w:eastAsia="Rubik" w:hAnsi="Rubik" w:cs="Rubik"/>
          <w:b/>
          <w:noProof/>
          <w:color w:val="002060"/>
          <w:sz w:val="18"/>
          <w:szCs w:val="18"/>
        </w:rPr>
        <w:drawing>
          <wp:anchor distT="0" distB="0" distL="114300" distR="114300" simplePos="0" relativeHeight="251662336" behindDoc="0" locked="0" layoutInCell="1" hidden="0" allowOverlap="1" wp14:anchorId="31669736" wp14:editId="47C3C497">
            <wp:simplePos x="0" y="0"/>
            <wp:positionH relativeFrom="column">
              <wp:posOffset>-21589</wp:posOffset>
            </wp:positionH>
            <wp:positionV relativeFrom="paragraph">
              <wp:posOffset>33020</wp:posOffset>
            </wp:positionV>
            <wp:extent cx="1973751" cy="99069"/>
            <wp:effectExtent l="0" t="0" r="0" b="0"/>
            <wp:wrapSquare wrapText="bothSides" distT="0" distB="0" distL="114300" distR="114300"/>
            <wp:docPr id="21156381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973751" cy="99069"/>
                    </a:xfrm>
                    <a:prstGeom prst="rect">
                      <a:avLst/>
                    </a:prstGeom>
                    <a:ln/>
                  </pic:spPr>
                </pic:pic>
              </a:graphicData>
            </a:graphic>
          </wp:anchor>
        </w:drawing>
      </w:r>
      <w:r w:rsidR="00A87A6F">
        <w:rPr>
          <w:rFonts w:ascii="Rubik" w:eastAsia="Rubik" w:hAnsi="Rubik" w:cs="Rubik"/>
          <w:b/>
          <w:color w:val="002060"/>
          <w:sz w:val="18"/>
          <w:szCs w:val="18"/>
        </w:rPr>
        <w:t>MAGNON</w:t>
      </w:r>
    </w:p>
    <w:p w14:paraId="55688877" w14:textId="2A16CB24" w:rsidR="00640CC3" w:rsidRPr="00A87A6F" w:rsidRDefault="00640CC3" w:rsidP="00640CC3">
      <w:pPr>
        <w:jc w:val="both"/>
        <w:rPr>
          <w:rFonts w:ascii="Rubik" w:eastAsia="Rubik" w:hAnsi="Rubik" w:cs="Rubik"/>
          <w:color w:val="002060"/>
          <w:sz w:val="18"/>
          <w:szCs w:val="18"/>
        </w:rPr>
      </w:pPr>
      <w:r w:rsidRPr="00A87A6F">
        <w:rPr>
          <w:rFonts w:ascii="Rubik" w:eastAsia="Rubik" w:hAnsi="Rubik" w:cs="Rubik"/>
          <w:color w:val="002060"/>
          <w:sz w:val="18"/>
          <w:szCs w:val="18"/>
        </w:rPr>
        <w:t xml:space="preserve">Sobre </w:t>
      </w:r>
      <w:proofErr w:type="spellStart"/>
      <w:r w:rsidRPr="00A87A6F">
        <w:rPr>
          <w:rFonts w:ascii="Rubik" w:eastAsia="Rubik" w:hAnsi="Rubik" w:cs="Rubik"/>
          <w:color w:val="002060"/>
          <w:sz w:val="18"/>
          <w:szCs w:val="18"/>
        </w:rPr>
        <w:t>Magnon</w:t>
      </w:r>
      <w:proofErr w:type="spellEnd"/>
      <w:r w:rsidRPr="00A87A6F">
        <w:rPr>
          <w:rFonts w:ascii="Rubik" w:eastAsia="Rubik" w:hAnsi="Rubik" w:cs="Rubik"/>
          <w:color w:val="002060"/>
          <w:sz w:val="18"/>
          <w:szCs w:val="18"/>
        </w:rPr>
        <w:t xml:space="preserve">. Es la mayor gestora de biomasa de España, líder en producción de energía renovable con biomasa forestal y agrícola. La compañía, cuenta con una potencia instalada total de 266 MW de generación eléctrica con biomasa agroforestal en España, con ocho plantas distribuidas en Andalucía, Castilla-La Mancha y Extremadura. De forma adicional, </w:t>
      </w:r>
      <w:proofErr w:type="spellStart"/>
      <w:r w:rsidRPr="00A87A6F">
        <w:rPr>
          <w:rFonts w:ascii="Rubik" w:eastAsia="Rubik" w:hAnsi="Rubik" w:cs="Rubik"/>
          <w:color w:val="002060"/>
          <w:sz w:val="18"/>
          <w:szCs w:val="18"/>
        </w:rPr>
        <w:t>Magnon</w:t>
      </w:r>
      <w:proofErr w:type="spellEnd"/>
      <w:r w:rsidRPr="00A87A6F">
        <w:rPr>
          <w:rFonts w:ascii="Rubik" w:eastAsia="Rubik" w:hAnsi="Rubik" w:cs="Rubik"/>
          <w:color w:val="002060"/>
          <w:sz w:val="18"/>
          <w:szCs w:val="18"/>
        </w:rPr>
        <w:t xml:space="preserve"> contribuye de forma destacada a la descarbonización de la industria española gracias al diseño, ejecución operación y mantenimiento de proyectos de calor industrial renovable. Además, desarrolla un proyecto pionero en España para capturar CO₂ biogénico (de origen vegetal) y transformarlo en metanol renovable dentro de su apuesta por los combustibles renovables del futuro. </w:t>
      </w:r>
      <w:r w:rsidR="008878C3" w:rsidRPr="008878C3">
        <w:rPr>
          <w:rFonts w:ascii="Rubik" w:eastAsia="Rubik" w:hAnsi="Rubik" w:cs="Rubik"/>
          <w:color w:val="002060"/>
          <w:sz w:val="18"/>
          <w:szCs w:val="18"/>
        </w:rPr>
        <w:t>https://ence.es/magnon-green-energy/</w:t>
      </w:r>
    </w:p>
    <w:p w14:paraId="46281057" w14:textId="77777777" w:rsidR="004D023E" w:rsidRDefault="004D023E" w:rsidP="00FA3787">
      <w:pPr>
        <w:spacing w:after="0" w:line="264" w:lineRule="auto"/>
        <w:jc w:val="both"/>
        <w:rPr>
          <w:rFonts w:ascii="Rubik" w:eastAsia="Rubik" w:hAnsi="Rubik" w:cs="Rubik"/>
          <w:b/>
          <w:color w:val="002060"/>
          <w:sz w:val="18"/>
          <w:szCs w:val="18"/>
        </w:rPr>
      </w:pPr>
    </w:p>
    <w:p w14:paraId="1E02A047" w14:textId="4079F70A"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t>CONTACTOS DE PRENSA</w:t>
      </w:r>
    </w:p>
    <w:p w14:paraId="1E02A048" w14:textId="77777777" w:rsidR="00C63326" w:rsidRPr="00FA3787" w:rsidRDefault="00C63326" w:rsidP="00FA3787">
      <w:pPr>
        <w:spacing w:after="0" w:line="264" w:lineRule="auto"/>
        <w:jc w:val="both"/>
        <w:rPr>
          <w:rFonts w:ascii="Rubik" w:eastAsia="Rubik" w:hAnsi="Rubik" w:cs="Rubik"/>
          <w:b/>
          <w:color w:val="002060"/>
          <w:sz w:val="18"/>
          <w:szCs w:val="18"/>
        </w:rPr>
      </w:pPr>
    </w:p>
    <w:p w14:paraId="3957478E" w14:textId="77777777" w:rsidR="00A12E3E" w:rsidRPr="00FA3787" w:rsidRDefault="00A12E3E" w:rsidP="00A12E3E">
      <w:pPr>
        <w:spacing w:after="0" w:line="264" w:lineRule="auto"/>
        <w:jc w:val="both"/>
        <w:rPr>
          <w:rFonts w:ascii="Rubik" w:eastAsia="Rubik" w:hAnsi="Rubik" w:cs="Rubik"/>
          <w:b/>
          <w:color w:val="002060"/>
          <w:sz w:val="18"/>
          <w:szCs w:val="18"/>
        </w:rPr>
      </w:pPr>
      <w:r>
        <w:rPr>
          <w:rFonts w:ascii="Rubik" w:eastAsia="Rubik" w:hAnsi="Rubik" w:cs="Rubik"/>
          <w:b/>
          <w:color w:val="002060"/>
          <w:sz w:val="18"/>
          <w:szCs w:val="18"/>
        </w:rPr>
        <w:t>Torres y Carrera</w:t>
      </w:r>
    </w:p>
    <w:p w14:paraId="6460F39E" w14:textId="77777777" w:rsidR="00A12E3E" w:rsidRPr="00FA3787" w:rsidRDefault="00A12E3E" w:rsidP="00A12E3E">
      <w:pPr>
        <w:spacing w:after="0" w:line="264" w:lineRule="auto"/>
        <w:jc w:val="both"/>
        <w:rPr>
          <w:rFonts w:ascii="Rubik" w:eastAsia="Rubik" w:hAnsi="Rubik" w:cs="Rubik"/>
          <w:color w:val="002060"/>
          <w:sz w:val="18"/>
          <w:szCs w:val="18"/>
        </w:rPr>
      </w:pPr>
      <w:r w:rsidRPr="00EE063B">
        <w:rPr>
          <w:rFonts w:ascii="Rubik" w:eastAsia="Rubik" w:hAnsi="Rubik" w:cs="Rubik"/>
          <w:color w:val="002060"/>
          <w:sz w:val="18"/>
          <w:szCs w:val="18"/>
        </w:rPr>
        <w:t>Nieves Barousse</w:t>
      </w:r>
      <w:r>
        <w:rPr>
          <w:rFonts w:ascii="Rubik" w:eastAsia="Rubik" w:hAnsi="Rubik" w:cs="Rubik"/>
          <w:color w:val="002060"/>
          <w:sz w:val="18"/>
          <w:szCs w:val="18"/>
        </w:rPr>
        <w:t xml:space="preserve">/ Juan Carlos </w:t>
      </w:r>
      <w:proofErr w:type="spellStart"/>
      <w:r>
        <w:rPr>
          <w:rFonts w:ascii="Rubik" w:eastAsia="Rubik" w:hAnsi="Rubik" w:cs="Rubik"/>
          <w:color w:val="002060"/>
          <w:sz w:val="18"/>
          <w:szCs w:val="18"/>
        </w:rPr>
        <w:t>Fité</w:t>
      </w:r>
      <w:proofErr w:type="spellEnd"/>
    </w:p>
    <w:p w14:paraId="766ED6DA" w14:textId="77777777" w:rsidR="00A12E3E" w:rsidRDefault="00A12E3E" w:rsidP="00A12E3E">
      <w:pPr>
        <w:spacing w:after="0" w:line="264" w:lineRule="auto"/>
        <w:jc w:val="both"/>
      </w:pPr>
      <w:r w:rsidRPr="006655A7">
        <w:rPr>
          <w:rFonts w:ascii="Rubik" w:eastAsia="Rubik" w:hAnsi="Rubik" w:cs="Rubik"/>
          <w:color w:val="0000FF"/>
          <w:sz w:val="18"/>
          <w:szCs w:val="18"/>
          <w:u w:val="single"/>
        </w:rPr>
        <w:t>nbarousse@torresycarrera.com</w:t>
      </w:r>
      <w:r w:rsidRPr="00A529FD">
        <w:rPr>
          <w:rFonts w:ascii="Rubik" w:eastAsia="Rubik" w:hAnsi="Rubik" w:cs="Rubik"/>
          <w:color w:val="002060"/>
          <w:sz w:val="18"/>
          <w:szCs w:val="18"/>
        </w:rPr>
        <w:t xml:space="preserve"> /</w:t>
      </w:r>
      <w:r w:rsidRPr="00915BB3">
        <w:rPr>
          <w:rFonts w:ascii="Rubik" w:eastAsia="Rubik" w:hAnsi="Rubik" w:cs="Rubik"/>
          <w:color w:val="0000FF"/>
          <w:sz w:val="18"/>
          <w:szCs w:val="18"/>
          <w:u w:val="single"/>
        </w:rPr>
        <w:t xml:space="preserve"> </w:t>
      </w:r>
      <w:hyperlink r:id="rId11" w:history="1">
        <w:r w:rsidRPr="00915BB3">
          <w:rPr>
            <w:rFonts w:ascii="Rubik" w:eastAsia="Rubik" w:hAnsi="Rubik" w:cs="Rubik"/>
            <w:color w:val="0000FF"/>
            <w:sz w:val="18"/>
            <w:szCs w:val="18"/>
            <w:u w:val="single"/>
          </w:rPr>
          <w:t>jcfite@torresycarrera.com</w:t>
        </w:r>
      </w:hyperlink>
    </w:p>
    <w:p w14:paraId="15355CF6" w14:textId="77777777" w:rsidR="00A12E3E" w:rsidRPr="00FA3787" w:rsidRDefault="00A12E3E" w:rsidP="00A12E3E">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 xml:space="preserve">Tel. </w:t>
      </w:r>
      <w:r>
        <w:rPr>
          <w:rFonts w:ascii="Rubik" w:eastAsia="Rubik" w:hAnsi="Rubik" w:cs="Rubik"/>
          <w:color w:val="002060"/>
          <w:sz w:val="18"/>
          <w:szCs w:val="18"/>
        </w:rPr>
        <w:t>667 565 475</w:t>
      </w:r>
    </w:p>
    <w:p w14:paraId="1E02A04D" w14:textId="77777777" w:rsidR="00C63326" w:rsidRPr="00FA3787" w:rsidRDefault="00C63326" w:rsidP="00FA3787">
      <w:pPr>
        <w:spacing w:after="0" w:line="264" w:lineRule="auto"/>
        <w:jc w:val="both"/>
        <w:rPr>
          <w:rFonts w:ascii="Rubik" w:eastAsia="Rubik" w:hAnsi="Rubik" w:cs="Rubik"/>
          <w:color w:val="002060"/>
          <w:sz w:val="18"/>
          <w:szCs w:val="18"/>
        </w:rPr>
      </w:pPr>
    </w:p>
    <w:p w14:paraId="43B70381" w14:textId="77777777" w:rsidR="00915BB3" w:rsidRDefault="00915BB3" w:rsidP="00915BB3">
      <w:pPr>
        <w:spacing w:after="0" w:line="240" w:lineRule="auto"/>
        <w:jc w:val="both"/>
        <w:rPr>
          <w:rFonts w:ascii="Rubik" w:eastAsia="Rubik" w:hAnsi="Rubik" w:cs="Rubik"/>
          <w:b/>
          <w:color w:val="002060"/>
          <w:sz w:val="18"/>
          <w:szCs w:val="18"/>
        </w:rPr>
      </w:pPr>
      <w:r>
        <w:rPr>
          <w:rFonts w:ascii="Rubik" w:eastAsia="Rubik" w:hAnsi="Rubik" w:cs="Rubik"/>
          <w:b/>
          <w:color w:val="002060"/>
          <w:sz w:val="18"/>
          <w:szCs w:val="18"/>
        </w:rPr>
        <w:t>Jorge Oliva</w:t>
      </w:r>
    </w:p>
    <w:p w14:paraId="5F0E43AD" w14:textId="77777777" w:rsidR="00915BB3" w:rsidRDefault="00915BB3" w:rsidP="00915BB3">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Director de Comunicación y Asuntos Públicos</w:t>
      </w:r>
    </w:p>
    <w:p w14:paraId="41473F8E" w14:textId="77777777" w:rsidR="00915BB3" w:rsidRDefault="00915BB3" w:rsidP="00915BB3">
      <w:pPr>
        <w:spacing w:after="0" w:line="240" w:lineRule="auto"/>
        <w:jc w:val="both"/>
        <w:rPr>
          <w:rFonts w:ascii="Rubik" w:eastAsia="Rubik" w:hAnsi="Rubik" w:cs="Rubik"/>
          <w:sz w:val="18"/>
          <w:szCs w:val="18"/>
        </w:rPr>
      </w:pPr>
      <w:hyperlink r:id="rId12">
        <w:r>
          <w:rPr>
            <w:rFonts w:ascii="Rubik" w:eastAsia="Rubik" w:hAnsi="Rubik" w:cs="Rubik"/>
            <w:color w:val="0000FF"/>
            <w:sz w:val="18"/>
            <w:szCs w:val="18"/>
            <w:u w:val="single"/>
          </w:rPr>
          <w:t>jorge.oliva@es.lactalis.com</w:t>
        </w:r>
      </w:hyperlink>
    </w:p>
    <w:p w14:paraId="655E0027" w14:textId="77777777" w:rsidR="00915BB3" w:rsidRDefault="00915BB3" w:rsidP="00915BB3">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Tel. 689 381 234</w:t>
      </w:r>
    </w:p>
    <w:p w14:paraId="4B25AECD" w14:textId="77777777" w:rsidR="00915BB3" w:rsidRDefault="00915BB3" w:rsidP="00FA3787">
      <w:pPr>
        <w:spacing w:after="0" w:line="264" w:lineRule="auto"/>
        <w:jc w:val="both"/>
        <w:rPr>
          <w:rFonts w:ascii="Rubik" w:eastAsia="Rubik" w:hAnsi="Rubik" w:cs="Rubik"/>
          <w:b/>
          <w:color w:val="002060"/>
          <w:sz w:val="18"/>
          <w:szCs w:val="18"/>
        </w:rPr>
      </w:pPr>
    </w:p>
    <w:p w14:paraId="1E02A04E" w14:textId="521D5A80"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t>Juan Miguel Ramiro</w:t>
      </w:r>
    </w:p>
    <w:p w14:paraId="1E02A04F" w14:textId="77777777" w:rsidR="00C63326" w:rsidRPr="00FA3787"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Responsable de Comunicación Externa</w:t>
      </w:r>
    </w:p>
    <w:p w14:paraId="1E02A050" w14:textId="77777777" w:rsidR="00C63326" w:rsidRPr="00FA3787" w:rsidRDefault="00413F1A" w:rsidP="00FA3787">
      <w:pPr>
        <w:spacing w:after="0" w:line="264" w:lineRule="auto"/>
        <w:jc w:val="both"/>
        <w:rPr>
          <w:rFonts w:ascii="Rubik" w:eastAsia="Rubik" w:hAnsi="Rubik" w:cs="Rubik"/>
          <w:sz w:val="18"/>
          <w:szCs w:val="18"/>
        </w:rPr>
      </w:pPr>
      <w:hyperlink r:id="rId13">
        <w:r w:rsidRPr="00FA3787">
          <w:rPr>
            <w:rFonts w:ascii="Rubik" w:eastAsia="Rubik" w:hAnsi="Rubik" w:cs="Rubik"/>
            <w:color w:val="0000FF"/>
            <w:sz w:val="18"/>
            <w:szCs w:val="18"/>
            <w:u w:val="single"/>
          </w:rPr>
          <w:t>juanmiguel.ramiro@es.lactalis.com</w:t>
        </w:r>
      </w:hyperlink>
    </w:p>
    <w:p w14:paraId="1E02A052" w14:textId="43D090BC" w:rsidR="00C63326"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Tel. 670 865 425</w:t>
      </w:r>
    </w:p>
    <w:sectPr w:rsidR="00C63326" w:rsidSect="00FA3787">
      <w:headerReference w:type="default" r:id="rId14"/>
      <w:footerReference w:type="default" r:id="rId15"/>
      <w:pgSz w:w="11906" w:h="16838"/>
      <w:pgMar w:top="1985" w:right="1416" w:bottom="1135"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0ED8F4" w14:textId="77777777" w:rsidR="005D78FD" w:rsidRDefault="005D78FD">
      <w:pPr>
        <w:spacing w:after="0" w:line="240" w:lineRule="auto"/>
      </w:pPr>
      <w:r>
        <w:separator/>
      </w:r>
    </w:p>
  </w:endnote>
  <w:endnote w:type="continuationSeparator" w:id="0">
    <w:p w14:paraId="4CA8AF6B" w14:textId="77777777" w:rsidR="005D78FD" w:rsidRDefault="005D7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7D5A74FF-0E38-49A3-9EC8-3BB3F3C9BA47}"/>
  </w:font>
  <w:font w:name="Calibri">
    <w:panose1 w:val="020F0502020204030204"/>
    <w:charset w:val="00"/>
    <w:family w:val="swiss"/>
    <w:pitch w:val="variable"/>
    <w:sig w:usb0="E4002EFF" w:usb1="C200247B" w:usb2="00000009" w:usb3="00000000" w:csb0="000001FF" w:csb1="00000000"/>
    <w:embedRegular r:id="rId2" w:fontKey="{B9FFCA1B-6AB1-4023-8E81-C89243EA7FAE}"/>
    <w:embedBold r:id="rId3" w:fontKey="{1BF77CCA-240D-494A-9E51-ACA40DDAEDFA}"/>
  </w:font>
  <w:font w:name="Segoe UI">
    <w:panose1 w:val="020B0502040204020203"/>
    <w:charset w:val="00"/>
    <w:family w:val="swiss"/>
    <w:pitch w:val="variable"/>
    <w:sig w:usb0="E4002EFF" w:usb1="C000E47F" w:usb2="00000009" w:usb3="00000000" w:csb0="000001FF" w:csb1="00000000"/>
    <w:embedRegular r:id="rId4" w:fontKey="{072EAB1D-A418-4A74-A473-13CBEE01BBD9}"/>
  </w:font>
  <w:font w:name="Georgia">
    <w:panose1 w:val="02040502050405020303"/>
    <w:charset w:val="00"/>
    <w:family w:val="roman"/>
    <w:pitch w:val="variable"/>
    <w:sig w:usb0="00000287" w:usb1="00000000" w:usb2="00000000" w:usb3="00000000" w:csb0="0000009F" w:csb1="00000000"/>
    <w:embedRegular r:id="rId5" w:fontKey="{AD44F94A-EF58-4A48-946B-50E961D4706C}"/>
    <w:embedItalic r:id="rId6" w:fontKey="{27DBD2BA-D2CE-49A7-BC36-3C5DBC3EC9DE}"/>
  </w:font>
  <w:font w:name="Rubik">
    <w:altName w:val="Calibri"/>
    <w:panose1 w:val="00000000000000000000"/>
    <w:charset w:val="00"/>
    <w:family w:val="auto"/>
    <w:pitch w:val="variable"/>
    <w:sig w:usb0="A0002A6F" w:usb1="C000205B" w:usb2="00000000" w:usb3="00000000" w:csb0="000000F7" w:csb1="00000000"/>
    <w:embedRegular r:id="rId7" w:fontKey="{C9314EAE-E715-419B-8FFC-88E15A7E901A}"/>
    <w:embedBold r:id="rId8" w:fontKey="{E14861F0-B80D-4973-9B2A-D89C761F3679}"/>
    <w:embedItalic r:id="rId9" w:fontKey="{ACEBF354-219D-42A8-A259-B03002322A0D}"/>
  </w:font>
  <w:font w:name="Calibri Light">
    <w:panose1 w:val="020F0302020204030204"/>
    <w:charset w:val="00"/>
    <w:family w:val="swiss"/>
    <w:pitch w:val="variable"/>
    <w:sig w:usb0="E4002EFF" w:usb1="C200247B" w:usb2="00000009" w:usb3="00000000" w:csb0="000001FF" w:csb1="00000000"/>
    <w:embedRegular r:id="rId10" w:fontKey="{FCEA93E7-7C13-459F-AE26-66DEF01C119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6" w14:textId="13756B33" w:rsidR="00C63326" w:rsidRDefault="00413F1A">
    <w:pPr>
      <w:pBdr>
        <w:top w:val="nil"/>
        <w:left w:val="nil"/>
        <w:bottom w:val="nil"/>
        <w:right w:val="nil"/>
        <w:between w:val="nil"/>
      </w:pBdr>
      <w:tabs>
        <w:tab w:val="center" w:pos="4252"/>
        <w:tab w:val="right" w:pos="8504"/>
      </w:tabs>
      <w:spacing w:after="0" w:line="240" w:lineRule="auto"/>
      <w:jc w:val="right"/>
      <w:rPr>
        <w:rFonts w:ascii="Rubik" w:eastAsia="Rubik" w:hAnsi="Rubik" w:cs="Rubik"/>
        <w:color w:val="000000"/>
        <w:sz w:val="21"/>
        <w:szCs w:val="21"/>
      </w:rPr>
    </w:pPr>
    <w:r>
      <w:rPr>
        <w:rFonts w:ascii="Rubik" w:eastAsia="Rubik" w:hAnsi="Rubik" w:cs="Rubik"/>
        <w:color w:val="000000"/>
        <w:sz w:val="21"/>
        <w:szCs w:val="21"/>
      </w:rPr>
      <w:fldChar w:fldCharType="begin"/>
    </w:r>
    <w:r>
      <w:rPr>
        <w:rFonts w:ascii="Rubik" w:eastAsia="Rubik" w:hAnsi="Rubik" w:cs="Rubik"/>
        <w:color w:val="000000"/>
        <w:sz w:val="21"/>
        <w:szCs w:val="21"/>
      </w:rPr>
      <w:instrText>PAGE</w:instrText>
    </w:r>
    <w:r>
      <w:rPr>
        <w:rFonts w:ascii="Rubik" w:eastAsia="Rubik" w:hAnsi="Rubik" w:cs="Rubik"/>
        <w:color w:val="000000"/>
        <w:sz w:val="21"/>
        <w:szCs w:val="21"/>
      </w:rPr>
      <w:fldChar w:fldCharType="separate"/>
    </w:r>
    <w:r>
      <w:rPr>
        <w:rFonts w:ascii="Rubik" w:eastAsia="Rubik" w:hAnsi="Rubik" w:cs="Rubik"/>
        <w:noProof/>
        <w:color w:val="000000"/>
        <w:sz w:val="21"/>
        <w:szCs w:val="21"/>
      </w:rPr>
      <w:t>1</w:t>
    </w:r>
    <w:r>
      <w:rPr>
        <w:rFonts w:ascii="Rubik" w:eastAsia="Rubik" w:hAnsi="Rubik" w:cs="Rubik"/>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BBE0ED" w14:textId="77777777" w:rsidR="005D78FD" w:rsidRDefault="005D78FD">
      <w:pPr>
        <w:spacing w:after="0" w:line="240" w:lineRule="auto"/>
      </w:pPr>
      <w:r>
        <w:separator/>
      </w:r>
    </w:p>
  </w:footnote>
  <w:footnote w:type="continuationSeparator" w:id="0">
    <w:p w14:paraId="4D1A8161" w14:textId="77777777" w:rsidR="005D78FD" w:rsidRDefault="005D78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5" w14:textId="44BE586D" w:rsidR="00C63326" w:rsidRDefault="00D87176">
    <w:pPr>
      <w:pBdr>
        <w:top w:val="nil"/>
        <w:left w:val="nil"/>
        <w:bottom w:val="nil"/>
        <w:right w:val="nil"/>
        <w:between w:val="nil"/>
      </w:pBdr>
      <w:tabs>
        <w:tab w:val="center" w:pos="4252"/>
        <w:tab w:val="right" w:pos="8504"/>
      </w:tabs>
      <w:spacing w:after="0" w:line="240" w:lineRule="auto"/>
      <w:jc w:val="both"/>
      <w:rPr>
        <w:color w:val="000000"/>
      </w:rPr>
    </w:pPr>
    <w:r w:rsidRPr="00291AA3">
      <w:rPr>
        <w:b/>
        <w:bCs/>
        <w:noProof/>
        <w:lang w:val="es-ES"/>
      </w:rPr>
      <w:drawing>
        <wp:anchor distT="0" distB="0" distL="0" distR="0" simplePos="0" relativeHeight="251660288" behindDoc="1" locked="0" layoutInCell="1" hidden="0" allowOverlap="1" wp14:anchorId="5553226A" wp14:editId="046169EB">
          <wp:simplePos x="0" y="0"/>
          <wp:positionH relativeFrom="margin">
            <wp:align>right</wp:align>
          </wp:positionH>
          <wp:positionV relativeFrom="paragraph">
            <wp:posOffset>-635</wp:posOffset>
          </wp:positionV>
          <wp:extent cx="1492250" cy="336779"/>
          <wp:effectExtent l="0" t="0" r="0" b="6350"/>
          <wp:wrapNone/>
          <wp:docPr id="9" name="image1.png" descr="Forma&#10;&#10;El contenido generado por IA puede ser incorrecto."/>
          <wp:cNvGraphicFramePr/>
          <a:graphic xmlns:a="http://schemas.openxmlformats.org/drawingml/2006/main">
            <a:graphicData uri="http://schemas.openxmlformats.org/drawingml/2006/picture">
              <pic:pic xmlns:pic="http://schemas.openxmlformats.org/drawingml/2006/picture">
                <pic:nvPicPr>
                  <pic:cNvPr id="9" name="image1.png" descr="Forma&#10;&#10;El contenido generado por IA puede ser incorrecto."/>
                  <pic:cNvPicPr preferRelativeResize="0"/>
                </pic:nvPicPr>
                <pic:blipFill>
                  <a:blip r:embed="rId1"/>
                  <a:srcRect/>
                  <a:stretch>
                    <a:fillRect/>
                  </a:stretch>
                </pic:blipFill>
                <pic:spPr>
                  <a:xfrm>
                    <a:off x="0" y="0"/>
                    <a:ext cx="1492250" cy="336779"/>
                  </a:xfrm>
                  <a:prstGeom prst="rect">
                    <a:avLst/>
                  </a:prstGeom>
                  <a:ln/>
                </pic:spPr>
              </pic:pic>
            </a:graphicData>
          </a:graphic>
        </wp:anchor>
      </w:drawing>
    </w:r>
    <w:r w:rsidR="00413F1A">
      <w:rPr>
        <w:noProof/>
      </w:rPr>
      <w:drawing>
        <wp:anchor distT="0" distB="0" distL="114300" distR="114300" simplePos="0" relativeHeight="251658240" behindDoc="0" locked="0" layoutInCell="1" hidden="0" allowOverlap="1" wp14:anchorId="1E02A057" wp14:editId="6290F48B">
          <wp:simplePos x="0" y="0"/>
          <wp:positionH relativeFrom="column">
            <wp:posOffset>-182000</wp:posOffset>
          </wp:positionH>
          <wp:positionV relativeFrom="paragraph">
            <wp:posOffset>3175</wp:posOffset>
          </wp:positionV>
          <wp:extent cx="1512606" cy="397826"/>
          <wp:effectExtent l="0" t="0" r="0" b="0"/>
          <wp:wrapSquare wrapText="bothSides" distT="0" distB="0" distL="114300" distR="114300"/>
          <wp:docPr id="1229940107" name="image1.png" descr="Lactalis España, la filial española del Grupo Lactalis"/>
          <wp:cNvGraphicFramePr/>
          <a:graphic xmlns:a="http://schemas.openxmlformats.org/drawingml/2006/main">
            <a:graphicData uri="http://schemas.openxmlformats.org/drawingml/2006/picture">
              <pic:pic xmlns:pic="http://schemas.openxmlformats.org/drawingml/2006/picture">
                <pic:nvPicPr>
                  <pic:cNvPr id="0" name="image1.png" descr="Lactalis España, la filial española del Grupo Lactalis"/>
                  <pic:cNvPicPr preferRelativeResize="0"/>
                </pic:nvPicPr>
                <pic:blipFill>
                  <a:blip r:embed="rId2"/>
                  <a:srcRect/>
                  <a:stretch>
                    <a:fillRect/>
                  </a:stretch>
                </pic:blipFill>
                <pic:spPr>
                  <a:xfrm>
                    <a:off x="0" y="0"/>
                    <a:ext cx="1512606" cy="39782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618DE"/>
    <w:multiLevelType w:val="hybridMultilevel"/>
    <w:tmpl w:val="4C5CE7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937FFE"/>
    <w:multiLevelType w:val="hybridMultilevel"/>
    <w:tmpl w:val="2C541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EB593B"/>
    <w:multiLevelType w:val="hybridMultilevel"/>
    <w:tmpl w:val="0F1AB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B83007A"/>
    <w:multiLevelType w:val="hybridMultilevel"/>
    <w:tmpl w:val="4CB4F82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D94788"/>
    <w:multiLevelType w:val="multilevel"/>
    <w:tmpl w:val="C85E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CC5291"/>
    <w:multiLevelType w:val="hybridMultilevel"/>
    <w:tmpl w:val="CD9EE136"/>
    <w:lvl w:ilvl="0" w:tplc="8CF2BAA4">
      <w:numFmt w:val="bullet"/>
      <w:lvlText w:val="-"/>
      <w:lvlJc w:val="left"/>
      <w:pPr>
        <w:ind w:left="720" w:hanging="360"/>
      </w:pPr>
      <w:rPr>
        <w:rFonts w:ascii="Aptos" w:eastAsia="Aptos" w:hAnsi="Aptos"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77E72F43"/>
    <w:multiLevelType w:val="hybridMultilevel"/>
    <w:tmpl w:val="965255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17981673">
    <w:abstractNumId w:val="2"/>
  </w:num>
  <w:num w:numId="2" w16cid:durableId="1068772228">
    <w:abstractNumId w:val="1"/>
  </w:num>
  <w:num w:numId="3" w16cid:durableId="1109617342">
    <w:abstractNumId w:val="4"/>
  </w:num>
  <w:num w:numId="4" w16cid:durableId="989600328">
    <w:abstractNumId w:val="6"/>
  </w:num>
  <w:num w:numId="5" w16cid:durableId="2051613814">
    <w:abstractNumId w:val="0"/>
  </w:num>
  <w:num w:numId="6" w16cid:durableId="1003555427">
    <w:abstractNumId w:val="3"/>
  </w:num>
  <w:num w:numId="7" w16cid:durableId="7628429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326"/>
    <w:rsid w:val="00001541"/>
    <w:rsid w:val="000073A8"/>
    <w:rsid w:val="000133CC"/>
    <w:rsid w:val="000265DA"/>
    <w:rsid w:val="00032953"/>
    <w:rsid w:val="000418FB"/>
    <w:rsid w:val="00041FF4"/>
    <w:rsid w:val="00045F5F"/>
    <w:rsid w:val="000463C2"/>
    <w:rsid w:val="000500F5"/>
    <w:rsid w:val="00052505"/>
    <w:rsid w:val="00053640"/>
    <w:rsid w:val="00056DBB"/>
    <w:rsid w:val="00057C87"/>
    <w:rsid w:val="00067E7E"/>
    <w:rsid w:val="00081575"/>
    <w:rsid w:val="000847A9"/>
    <w:rsid w:val="000851B3"/>
    <w:rsid w:val="000859CB"/>
    <w:rsid w:val="00086ECB"/>
    <w:rsid w:val="00094159"/>
    <w:rsid w:val="000951D0"/>
    <w:rsid w:val="000A0080"/>
    <w:rsid w:val="000B132A"/>
    <w:rsid w:val="000B3884"/>
    <w:rsid w:val="000B7BF9"/>
    <w:rsid w:val="000C2F6C"/>
    <w:rsid w:val="000C2FEA"/>
    <w:rsid w:val="000D6645"/>
    <w:rsid w:val="000E3397"/>
    <w:rsid w:val="000F27DA"/>
    <w:rsid w:val="001106A6"/>
    <w:rsid w:val="00110C23"/>
    <w:rsid w:val="00123924"/>
    <w:rsid w:val="00130764"/>
    <w:rsid w:val="00142895"/>
    <w:rsid w:val="00142FB2"/>
    <w:rsid w:val="0014723A"/>
    <w:rsid w:val="00152226"/>
    <w:rsid w:val="00160098"/>
    <w:rsid w:val="00161E73"/>
    <w:rsid w:val="00165679"/>
    <w:rsid w:val="0017349B"/>
    <w:rsid w:val="00186137"/>
    <w:rsid w:val="00190E98"/>
    <w:rsid w:val="001B00B2"/>
    <w:rsid w:val="001B52E0"/>
    <w:rsid w:val="001C3951"/>
    <w:rsid w:val="001D55FF"/>
    <w:rsid w:val="001D668C"/>
    <w:rsid w:val="001E0663"/>
    <w:rsid w:val="001E1EF1"/>
    <w:rsid w:val="001E1FB9"/>
    <w:rsid w:val="001E391B"/>
    <w:rsid w:val="001E3FD3"/>
    <w:rsid w:val="001F4E81"/>
    <w:rsid w:val="00201195"/>
    <w:rsid w:val="00211BF4"/>
    <w:rsid w:val="0021223B"/>
    <w:rsid w:val="002135B8"/>
    <w:rsid w:val="0022498C"/>
    <w:rsid w:val="0022792E"/>
    <w:rsid w:val="00230C8D"/>
    <w:rsid w:val="00236A8D"/>
    <w:rsid w:val="002371FB"/>
    <w:rsid w:val="002417C6"/>
    <w:rsid w:val="0025745C"/>
    <w:rsid w:val="00262CA7"/>
    <w:rsid w:val="00264246"/>
    <w:rsid w:val="0028502D"/>
    <w:rsid w:val="002C0F36"/>
    <w:rsid w:val="002D0CF1"/>
    <w:rsid w:val="002D2E61"/>
    <w:rsid w:val="002E0477"/>
    <w:rsid w:val="002E0E5A"/>
    <w:rsid w:val="002E77D4"/>
    <w:rsid w:val="002F459D"/>
    <w:rsid w:val="003059EB"/>
    <w:rsid w:val="00306C66"/>
    <w:rsid w:val="00311C2A"/>
    <w:rsid w:val="0032024C"/>
    <w:rsid w:val="003247CE"/>
    <w:rsid w:val="00324B46"/>
    <w:rsid w:val="00334D17"/>
    <w:rsid w:val="00334E2B"/>
    <w:rsid w:val="00342CBE"/>
    <w:rsid w:val="0034647F"/>
    <w:rsid w:val="00347FC6"/>
    <w:rsid w:val="00355051"/>
    <w:rsid w:val="0036734E"/>
    <w:rsid w:val="00370B2D"/>
    <w:rsid w:val="003742B3"/>
    <w:rsid w:val="003819D8"/>
    <w:rsid w:val="00384484"/>
    <w:rsid w:val="003943B1"/>
    <w:rsid w:val="003A05B7"/>
    <w:rsid w:val="003B2CE7"/>
    <w:rsid w:val="003B61ED"/>
    <w:rsid w:val="003C2879"/>
    <w:rsid w:val="003C7638"/>
    <w:rsid w:val="003D3179"/>
    <w:rsid w:val="003E00B1"/>
    <w:rsid w:val="003E5B8C"/>
    <w:rsid w:val="003F1D1F"/>
    <w:rsid w:val="003F6FA8"/>
    <w:rsid w:val="0040177B"/>
    <w:rsid w:val="004033EC"/>
    <w:rsid w:val="00413F1A"/>
    <w:rsid w:val="00415034"/>
    <w:rsid w:val="00427EA2"/>
    <w:rsid w:val="004410E3"/>
    <w:rsid w:val="00442A49"/>
    <w:rsid w:val="00462351"/>
    <w:rsid w:val="00467CEF"/>
    <w:rsid w:val="00475A94"/>
    <w:rsid w:val="00483113"/>
    <w:rsid w:val="0048670D"/>
    <w:rsid w:val="00486C7F"/>
    <w:rsid w:val="004A4542"/>
    <w:rsid w:val="004B65D7"/>
    <w:rsid w:val="004C32A7"/>
    <w:rsid w:val="004D023E"/>
    <w:rsid w:val="004D3365"/>
    <w:rsid w:val="004F4309"/>
    <w:rsid w:val="00501B1D"/>
    <w:rsid w:val="00503478"/>
    <w:rsid w:val="00510EA9"/>
    <w:rsid w:val="00510F1B"/>
    <w:rsid w:val="00512527"/>
    <w:rsid w:val="00516D39"/>
    <w:rsid w:val="00536E16"/>
    <w:rsid w:val="0054226A"/>
    <w:rsid w:val="0056014C"/>
    <w:rsid w:val="00567A3A"/>
    <w:rsid w:val="005820B1"/>
    <w:rsid w:val="005868B6"/>
    <w:rsid w:val="00593CF5"/>
    <w:rsid w:val="005A006C"/>
    <w:rsid w:val="005A2F79"/>
    <w:rsid w:val="005B7479"/>
    <w:rsid w:val="005C1C06"/>
    <w:rsid w:val="005C2A85"/>
    <w:rsid w:val="005C3379"/>
    <w:rsid w:val="005D1331"/>
    <w:rsid w:val="005D2182"/>
    <w:rsid w:val="005D6F84"/>
    <w:rsid w:val="005D78FD"/>
    <w:rsid w:val="005D7D4F"/>
    <w:rsid w:val="005E06CD"/>
    <w:rsid w:val="005E41A0"/>
    <w:rsid w:val="005F415F"/>
    <w:rsid w:val="0060024E"/>
    <w:rsid w:val="0060486A"/>
    <w:rsid w:val="00610E62"/>
    <w:rsid w:val="00617289"/>
    <w:rsid w:val="006252E5"/>
    <w:rsid w:val="00637ED0"/>
    <w:rsid w:val="00640CC3"/>
    <w:rsid w:val="00643D5C"/>
    <w:rsid w:val="00651282"/>
    <w:rsid w:val="00666266"/>
    <w:rsid w:val="006676B4"/>
    <w:rsid w:val="0068423F"/>
    <w:rsid w:val="00691B06"/>
    <w:rsid w:val="006A2C94"/>
    <w:rsid w:val="006A7658"/>
    <w:rsid w:val="006C6C62"/>
    <w:rsid w:val="006E2010"/>
    <w:rsid w:val="006E32F5"/>
    <w:rsid w:val="006F0699"/>
    <w:rsid w:val="006F260F"/>
    <w:rsid w:val="006F3003"/>
    <w:rsid w:val="006F6C41"/>
    <w:rsid w:val="0070377D"/>
    <w:rsid w:val="007037F7"/>
    <w:rsid w:val="00730872"/>
    <w:rsid w:val="00732479"/>
    <w:rsid w:val="00733FCF"/>
    <w:rsid w:val="0073439B"/>
    <w:rsid w:val="00737F9A"/>
    <w:rsid w:val="00750111"/>
    <w:rsid w:val="00754427"/>
    <w:rsid w:val="00763B51"/>
    <w:rsid w:val="00770F5F"/>
    <w:rsid w:val="00776EA5"/>
    <w:rsid w:val="007825C8"/>
    <w:rsid w:val="007829BB"/>
    <w:rsid w:val="007860A4"/>
    <w:rsid w:val="00787AEF"/>
    <w:rsid w:val="0079186A"/>
    <w:rsid w:val="007B1270"/>
    <w:rsid w:val="007B16A7"/>
    <w:rsid w:val="007B335F"/>
    <w:rsid w:val="007B4589"/>
    <w:rsid w:val="007B5C76"/>
    <w:rsid w:val="007C1B7E"/>
    <w:rsid w:val="007C30A7"/>
    <w:rsid w:val="007C57BB"/>
    <w:rsid w:val="007E2303"/>
    <w:rsid w:val="007E472E"/>
    <w:rsid w:val="00806C91"/>
    <w:rsid w:val="0081428D"/>
    <w:rsid w:val="00826BD8"/>
    <w:rsid w:val="008348DB"/>
    <w:rsid w:val="008364FC"/>
    <w:rsid w:val="00844C06"/>
    <w:rsid w:val="00853640"/>
    <w:rsid w:val="00861743"/>
    <w:rsid w:val="00872104"/>
    <w:rsid w:val="0087374E"/>
    <w:rsid w:val="00874631"/>
    <w:rsid w:val="00877618"/>
    <w:rsid w:val="00883DB3"/>
    <w:rsid w:val="00885EB4"/>
    <w:rsid w:val="008878C3"/>
    <w:rsid w:val="008A0251"/>
    <w:rsid w:val="008A0CD0"/>
    <w:rsid w:val="008A3915"/>
    <w:rsid w:val="008B2583"/>
    <w:rsid w:val="008C256D"/>
    <w:rsid w:val="008D6CFB"/>
    <w:rsid w:val="008F3462"/>
    <w:rsid w:val="008F5C5C"/>
    <w:rsid w:val="009002C7"/>
    <w:rsid w:val="00902206"/>
    <w:rsid w:val="009048E8"/>
    <w:rsid w:val="00915BB3"/>
    <w:rsid w:val="00926B87"/>
    <w:rsid w:val="00931EB5"/>
    <w:rsid w:val="00933956"/>
    <w:rsid w:val="00940EC2"/>
    <w:rsid w:val="00950472"/>
    <w:rsid w:val="00975C15"/>
    <w:rsid w:val="009A0A2F"/>
    <w:rsid w:val="009B0EFE"/>
    <w:rsid w:val="009C1844"/>
    <w:rsid w:val="009C6A29"/>
    <w:rsid w:val="009E7C23"/>
    <w:rsid w:val="00A04117"/>
    <w:rsid w:val="00A05A57"/>
    <w:rsid w:val="00A12E3E"/>
    <w:rsid w:val="00A22346"/>
    <w:rsid w:val="00A23DC2"/>
    <w:rsid w:val="00A26225"/>
    <w:rsid w:val="00A43B92"/>
    <w:rsid w:val="00A44108"/>
    <w:rsid w:val="00A47AA7"/>
    <w:rsid w:val="00A529FD"/>
    <w:rsid w:val="00A63FEA"/>
    <w:rsid w:val="00A67C5D"/>
    <w:rsid w:val="00A7039C"/>
    <w:rsid w:val="00A87795"/>
    <w:rsid w:val="00A87A6F"/>
    <w:rsid w:val="00A95092"/>
    <w:rsid w:val="00A955FF"/>
    <w:rsid w:val="00AA6461"/>
    <w:rsid w:val="00AB483E"/>
    <w:rsid w:val="00AB6CBB"/>
    <w:rsid w:val="00AC2ABA"/>
    <w:rsid w:val="00AC518D"/>
    <w:rsid w:val="00AC6D1D"/>
    <w:rsid w:val="00AC6F1D"/>
    <w:rsid w:val="00AD015A"/>
    <w:rsid w:val="00AD192E"/>
    <w:rsid w:val="00AE2C89"/>
    <w:rsid w:val="00AF2E41"/>
    <w:rsid w:val="00AF3DB7"/>
    <w:rsid w:val="00B01996"/>
    <w:rsid w:val="00B065F9"/>
    <w:rsid w:val="00B06C0B"/>
    <w:rsid w:val="00B14101"/>
    <w:rsid w:val="00B248C3"/>
    <w:rsid w:val="00B25C54"/>
    <w:rsid w:val="00B31A37"/>
    <w:rsid w:val="00B37350"/>
    <w:rsid w:val="00B405C5"/>
    <w:rsid w:val="00B474A8"/>
    <w:rsid w:val="00B60417"/>
    <w:rsid w:val="00B61D39"/>
    <w:rsid w:val="00B61F27"/>
    <w:rsid w:val="00B73C6F"/>
    <w:rsid w:val="00B76D8C"/>
    <w:rsid w:val="00B85A2A"/>
    <w:rsid w:val="00B87DD8"/>
    <w:rsid w:val="00B9471D"/>
    <w:rsid w:val="00B9492C"/>
    <w:rsid w:val="00BB2191"/>
    <w:rsid w:val="00BC0D7A"/>
    <w:rsid w:val="00BC0FBF"/>
    <w:rsid w:val="00BE1575"/>
    <w:rsid w:val="00BE59B2"/>
    <w:rsid w:val="00BF1B8D"/>
    <w:rsid w:val="00C0325B"/>
    <w:rsid w:val="00C060CB"/>
    <w:rsid w:val="00C17E3F"/>
    <w:rsid w:val="00C23BD2"/>
    <w:rsid w:val="00C30B6E"/>
    <w:rsid w:val="00C35FC4"/>
    <w:rsid w:val="00C36163"/>
    <w:rsid w:val="00C36E45"/>
    <w:rsid w:val="00C41B7B"/>
    <w:rsid w:val="00C56D26"/>
    <w:rsid w:val="00C6022E"/>
    <w:rsid w:val="00C630CB"/>
    <w:rsid w:val="00C63326"/>
    <w:rsid w:val="00C7233D"/>
    <w:rsid w:val="00C7430F"/>
    <w:rsid w:val="00C74E70"/>
    <w:rsid w:val="00C77F00"/>
    <w:rsid w:val="00C978AD"/>
    <w:rsid w:val="00CA5444"/>
    <w:rsid w:val="00CB035C"/>
    <w:rsid w:val="00CB67ED"/>
    <w:rsid w:val="00CC0471"/>
    <w:rsid w:val="00CC102D"/>
    <w:rsid w:val="00CE457D"/>
    <w:rsid w:val="00CF7D4D"/>
    <w:rsid w:val="00D00BB0"/>
    <w:rsid w:val="00D126B6"/>
    <w:rsid w:val="00D171B5"/>
    <w:rsid w:val="00D2425F"/>
    <w:rsid w:val="00D34221"/>
    <w:rsid w:val="00D4038A"/>
    <w:rsid w:val="00D45835"/>
    <w:rsid w:val="00D479D3"/>
    <w:rsid w:val="00D5318D"/>
    <w:rsid w:val="00D7019E"/>
    <w:rsid w:val="00D737C7"/>
    <w:rsid w:val="00D85603"/>
    <w:rsid w:val="00D87176"/>
    <w:rsid w:val="00D95C60"/>
    <w:rsid w:val="00D976E4"/>
    <w:rsid w:val="00DA0631"/>
    <w:rsid w:val="00DD7B92"/>
    <w:rsid w:val="00DF3FB6"/>
    <w:rsid w:val="00E02FE9"/>
    <w:rsid w:val="00E07EBB"/>
    <w:rsid w:val="00E1074B"/>
    <w:rsid w:val="00E24BBF"/>
    <w:rsid w:val="00E26103"/>
    <w:rsid w:val="00E3082A"/>
    <w:rsid w:val="00E36F76"/>
    <w:rsid w:val="00E4139C"/>
    <w:rsid w:val="00E55072"/>
    <w:rsid w:val="00E761ED"/>
    <w:rsid w:val="00E8485E"/>
    <w:rsid w:val="00E87BD9"/>
    <w:rsid w:val="00E915B6"/>
    <w:rsid w:val="00E94B7B"/>
    <w:rsid w:val="00E952FD"/>
    <w:rsid w:val="00EA0FD6"/>
    <w:rsid w:val="00EA4275"/>
    <w:rsid w:val="00EB320F"/>
    <w:rsid w:val="00EC14FC"/>
    <w:rsid w:val="00ED2144"/>
    <w:rsid w:val="00ED4992"/>
    <w:rsid w:val="00EE0747"/>
    <w:rsid w:val="00EE5A4B"/>
    <w:rsid w:val="00F0075D"/>
    <w:rsid w:val="00F01297"/>
    <w:rsid w:val="00F034B6"/>
    <w:rsid w:val="00F07AAC"/>
    <w:rsid w:val="00F07DE1"/>
    <w:rsid w:val="00F151C6"/>
    <w:rsid w:val="00F20D1E"/>
    <w:rsid w:val="00F24EA6"/>
    <w:rsid w:val="00F24FA3"/>
    <w:rsid w:val="00F42889"/>
    <w:rsid w:val="00F554D0"/>
    <w:rsid w:val="00F6754D"/>
    <w:rsid w:val="00F72BE4"/>
    <w:rsid w:val="00F878EF"/>
    <w:rsid w:val="00F87A25"/>
    <w:rsid w:val="00F96324"/>
    <w:rsid w:val="00FA2CFD"/>
    <w:rsid w:val="00FA3787"/>
    <w:rsid w:val="00FC0440"/>
    <w:rsid w:val="00FC142B"/>
    <w:rsid w:val="00FD2D53"/>
    <w:rsid w:val="00FD33E5"/>
    <w:rsid w:val="00FD71FA"/>
    <w:rsid w:val="00FD755B"/>
    <w:rsid w:val="00FE07D9"/>
    <w:rsid w:val="00FE41F3"/>
    <w:rsid w:val="00FE6DAB"/>
    <w:rsid w:val="00FF34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02A02C"/>
  <w15:docId w15:val="{61BA428F-FD62-41DD-ACC7-F8CFFBCD7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sid w:val="008459BE"/>
    <w:rPr>
      <w:color w:val="0000FF"/>
      <w:u w:val="single"/>
    </w:rPr>
  </w:style>
  <w:style w:type="paragraph" w:styleId="Prrafodelista">
    <w:name w:val="List Paragraph"/>
    <w:basedOn w:val="Normal"/>
    <w:uiPriority w:val="34"/>
    <w:qFormat/>
    <w:rsid w:val="00D0638A"/>
    <w:pPr>
      <w:spacing w:after="0" w:line="240" w:lineRule="auto"/>
      <w:ind w:left="720"/>
    </w:pPr>
  </w:style>
  <w:style w:type="character" w:styleId="Refdecomentario">
    <w:name w:val="annotation reference"/>
    <w:basedOn w:val="Fuentedeprrafopredeter"/>
    <w:uiPriority w:val="99"/>
    <w:semiHidden/>
    <w:unhideWhenUsed/>
    <w:rsid w:val="007F0723"/>
    <w:rPr>
      <w:sz w:val="16"/>
      <w:szCs w:val="16"/>
    </w:rPr>
  </w:style>
  <w:style w:type="paragraph" w:styleId="Textocomentario">
    <w:name w:val="annotation text"/>
    <w:basedOn w:val="Normal"/>
    <w:link w:val="TextocomentarioCar"/>
    <w:uiPriority w:val="99"/>
    <w:unhideWhenUsed/>
    <w:rsid w:val="007F0723"/>
    <w:pPr>
      <w:spacing w:line="240" w:lineRule="auto"/>
    </w:pPr>
    <w:rPr>
      <w:sz w:val="20"/>
      <w:szCs w:val="20"/>
    </w:rPr>
  </w:style>
  <w:style w:type="character" w:customStyle="1" w:styleId="TextocomentarioCar">
    <w:name w:val="Texto comentario Car"/>
    <w:basedOn w:val="Fuentedeprrafopredeter"/>
    <w:link w:val="Textocomentario"/>
    <w:uiPriority w:val="99"/>
    <w:rsid w:val="007F0723"/>
    <w:rPr>
      <w:sz w:val="20"/>
      <w:szCs w:val="20"/>
    </w:rPr>
  </w:style>
  <w:style w:type="paragraph" w:styleId="Asuntodelcomentario">
    <w:name w:val="annotation subject"/>
    <w:basedOn w:val="Textocomentario"/>
    <w:next w:val="Textocomentario"/>
    <w:link w:val="AsuntodelcomentarioCar"/>
    <w:uiPriority w:val="99"/>
    <w:semiHidden/>
    <w:unhideWhenUsed/>
    <w:rsid w:val="007F0723"/>
    <w:rPr>
      <w:b/>
      <w:bCs/>
    </w:rPr>
  </w:style>
  <w:style w:type="character" w:customStyle="1" w:styleId="AsuntodelcomentarioCar">
    <w:name w:val="Asunto del comentario Car"/>
    <w:basedOn w:val="TextocomentarioCar"/>
    <w:link w:val="Asuntodelcomentario"/>
    <w:uiPriority w:val="99"/>
    <w:semiHidden/>
    <w:rsid w:val="007F0723"/>
    <w:rPr>
      <w:b/>
      <w:bCs/>
      <w:sz w:val="20"/>
      <w:szCs w:val="20"/>
    </w:rPr>
  </w:style>
  <w:style w:type="paragraph" w:styleId="Textodeglobo">
    <w:name w:val="Balloon Text"/>
    <w:basedOn w:val="Normal"/>
    <w:link w:val="TextodegloboCar"/>
    <w:uiPriority w:val="99"/>
    <w:semiHidden/>
    <w:unhideWhenUsed/>
    <w:rsid w:val="007F07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23"/>
    <w:rPr>
      <w:rFonts w:ascii="Segoe UI" w:hAnsi="Segoe UI" w:cs="Segoe UI"/>
      <w:sz w:val="18"/>
      <w:szCs w:val="18"/>
    </w:rPr>
  </w:style>
  <w:style w:type="paragraph" w:styleId="Encabezado">
    <w:name w:val="header"/>
    <w:basedOn w:val="Normal"/>
    <w:link w:val="EncabezadoCar"/>
    <w:uiPriority w:val="99"/>
    <w:unhideWhenUsed/>
    <w:rsid w:val="00B655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535"/>
  </w:style>
  <w:style w:type="paragraph" w:styleId="Piedepgina">
    <w:name w:val="footer"/>
    <w:basedOn w:val="Normal"/>
    <w:link w:val="PiedepginaCar"/>
    <w:uiPriority w:val="99"/>
    <w:unhideWhenUsed/>
    <w:rsid w:val="00B655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535"/>
  </w:style>
  <w:style w:type="paragraph" w:styleId="Textonotaalfinal">
    <w:name w:val="endnote text"/>
    <w:basedOn w:val="Normal"/>
    <w:link w:val="TextonotaalfinalCar"/>
    <w:uiPriority w:val="99"/>
    <w:semiHidden/>
    <w:unhideWhenUsed/>
    <w:rsid w:val="006E10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047"/>
    <w:rPr>
      <w:sz w:val="20"/>
      <w:szCs w:val="20"/>
    </w:rPr>
  </w:style>
  <w:style w:type="character" w:styleId="Refdenotaalfinal">
    <w:name w:val="endnote reference"/>
    <w:basedOn w:val="Fuentedeprrafopredeter"/>
    <w:uiPriority w:val="99"/>
    <w:semiHidden/>
    <w:unhideWhenUsed/>
    <w:rsid w:val="006E1047"/>
    <w:rPr>
      <w:vertAlign w:val="superscript"/>
    </w:rPr>
  </w:style>
  <w:style w:type="paragraph" w:styleId="Textonotapie">
    <w:name w:val="footnote text"/>
    <w:basedOn w:val="Normal"/>
    <w:link w:val="TextonotapieCar"/>
    <w:uiPriority w:val="99"/>
    <w:semiHidden/>
    <w:unhideWhenUsed/>
    <w:rsid w:val="006E1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047"/>
    <w:rPr>
      <w:sz w:val="20"/>
      <w:szCs w:val="20"/>
    </w:rPr>
  </w:style>
  <w:style w:type="character" w:styleId="Refdenotaalpie">
    <w:name w:val="footnote reference"/>
    <w:basedOn w:val="Fuentedeprrafopredeter"/>
    <w:uiPriority w:val="99"/>
    <w:semiHidden/>
    <w:unhideWhenUsed/>
    <w:rsid w:val="006E1047"/>
    <w:rPr>
      <w:vertAlign w:val="superscript"/>
    </w:rPr>
  </w:style>
  <w:style w:type="character" w:styleId="Mencinsinresolver">
    <w:name w:val="Unresolved Mention"/>
    <w:basedOn w:val="Fuentedeprrafopredeter"/>
    <w:uiPriority w:val="99"/>
    <w:semiHidden/>
    <w:unhideWhenUsed/>
    <w:rsid w:val="00987C2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5820B1"/>
    <w:rPr>
      <w:color w:val="954F72" w:themeColor="followedHyperlink"/>
      <w:u w:val="single"/>
    </w:rPr>
  </w:style>
  <w:style w:type="paragraph" w:styleId="Revisin">
    <w:name w:val="Revision"/>
    <w:hidden/>
    <w:uiPriority w:val="99"/>
    <w:semiHidden/>
    <w:rsid w:val="00D871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867077">
      <w:bodyDiv w:val="1"/>
      <w:marLeft w:val="0"/>
      <w:marRight w:val="0"/>
      <w:marTop w:val="0"/>
      <w:marBottom w:val="0"/>
      <w:divBdr>
        <w:top w:val="none" w:sz="0" w:space="0" w:color="auto"/>
        <w:left w:val="none" w:sz="0" w:space="0" w:color="auto"/>
        <w:bottom w:val="none" w:sz="0" w:space="0" w:color="auto"/>
        <w:right w:val="none" w:sz="0" w:space="0" w:color="auto"/>
      </w:divBdr>
    </w:div>
    <w:div w:id="21165561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lactalis.es/compromiso/informe-rsc/" TargetMode="External"/><Relationship Id="rId13" Type="http://schemas.openxmlformats.org/officeDocument/2006/relationships/hyperlink" Target="mailto:juanmiguel.ramiro@es.lactalis.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rge.oliva@es.lactali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cfite@torresycarrera.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lactalis.e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GwFc4vOJK2B/GM//0hl6FGIQg==">CgMxLjA4AHIhMXF0a2lIRGdHcUIyV2Z1bTd4WndKNHVlVWpLWlR0Mm5V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43d07fe4-7260-4ffb-aceb-4c1bb49daaf2}" enabled="0" method="" siteId="{43d07fe4-7260-4ffb-aceb-4c1bb49daaf2}" removed="1"/>
</clbl:labelList>
</file>

<file path=docProps/app.xml><?xml version="1.0" encoding="utf-8"?>
<Properties xmlns="http://schemas.openxmlformats.org/officeDocument/2006/extended-properties" xmlns:vt="http://schemas.openxmlformats.org/officeDocument/2006/docPropsVTypes">
  <Template>Normal.dotm</Template>
  <TotalTime>23</TotalTime>
  <Pages>3</Pages>
  <Words>1446</Words>
  <Characters>7955</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9383</CharactersWithSpaces>
  <SharedDoc>false</SharedDoc>
  <HLinks>
    <vt:vector size="30" baseType="variant">
      <vt:variant>
        <vt:i4>57</vt:i4>
      </vt:variant>
      <vt:variant>
        <vt:i4>12</vt:i4>
      </vt:variant>
      <vt:variant>
        <vt:i4>0</vt:i4>
      </vt:variant>
      <vt:variant>
        <vt:i4>5</vt:i4>
      </vt:variant>
      <vt:variant>
        <vt:lpwstr>mailto:juanmiguel.ramiro@es.lactalis.com</vt:lpwstr>
      </vt:variant>
      <vt:variant>
        <vt:lpwstr/>
      </vt:variant>
      <vt:variant>
        <vt:i4>3604483</vt:i4>
      </vt:variant>
      <vt:variant>
        <vt:i4>9</vt:i4>
      </vt:variant>
      <vt:variant>
        <vt:i4>0</vt:i4>
      </vt:variant>
      <vt:variant>
        <vt:i4>5</vt:i4>
      </vt:variant>
      <vt:variant>
        <vt:lpwstr>mailto:jorge.oliva@es.lactalis.com</vt:lpwstr>
      </vt:variant>
      <vt:variant>
        <vt:lpwstr/>
      </vt:variant>
      <vt:variant>
        <vt:i4>3080223</vt:i4>
      </vt:variant>
      <vt:variant>
        <vt:i4>6</vt:i4>
      </vt:variant>
      <vt:variant>
        <vt:i4>0</vt:i4>
      </vt:variant>
      <vt:variant>
        <vt:i4>5</vt:i4>
      </vt:variant>
      <vt:variant>
        <vt:lpwstr>mailto:jcfite@torresycarrera.com</vt:lpwstr>
      </vt:variant>
      <vt:variant>
        <vt:lpwstr/>
      </vt:variant>
      <vt:variant>
        <vt:i4>7405631</vt:i4>
      </vt:variant>
      <vt:variant>
        <vt:i4>3</vt:i4>
      </vt:variant>
      <vt:variant>
        <vt:i4>0</vt:i4>
      </vt:variant>
      <vt:variant>
        <vt:i4>5</vt:i4>
      </vt:variant>
      <vt:variant>
        <vt:lpwstr>http://www.lactalis.es/</vt:lpwstr>
      </vt:variant>
      <vt:variant>
        <vt:lpwstr/>
      </vt:variant>
      <vt:variant>
        <vt:i4>7798885</vt:i4>
      </vt:variant>
      <vt:variant>
        <vt:i4>0</vt:i4>
      </vt:variant>
      <vt:variant>
        <vt:i4>0</vt:i4>
      </vt:variant>
      <vt:variant>
        <vt:i4>5</vt:i4>
      </vt:variant>
      <vt:variant>
        <vt:lpwstr>https://www.lactalis.es/compromiso/informe-rsc/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SANCHEZ Lucia, Madrid</dc:creator>
  <cp:keywords/>
  <cp:lastModifiedBy>OLIVA ALVAREZ Jorge</cp:lastModifiedBy>
  <cp:revision>22</cp:revision>
  <dcterms:created xsi:type="dcterms:W3CDTF">2025-09-17T09:57:00Z</dcterms:created>
  <dcterms:modified xsi:type="dcterms:W3CDTF">2025-11-26T07:47:00Z</dcterms:modified>
</cp:coreProperties>
</file>