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0218" w14:textId="79A2A523" w:rsidR="004825B7" w:rsidRPr="00F86288" w:rsidRDefault="00CC0ABE" w:rsidP="004825B7">
      <w:pPr>
        <w:pBdr>
          <w:top w:val="nil"/>
          <w:left w:val="nil"/>
          <w:bottom w:val="nil"/>
          <w:right w:val="nil"/>
          <w:between w:val="nil"/>
        </w:pBdr>
        <w:spacing w:before="240" w:line="276" w:lineRule="auto"/>
        <w:ind w:left="360"/>
        <w:jc w:val="center"/>
        <w:rPr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bCs/>
          <w:sz w:val="36"/>
          <w:szCs w:val="36"/>
        </w:rPr>
        <w:t>El GIS Alimentario elabora</w:t>
      </w:r>
      <w:r w:rsidR="000B3E4E" w:rsidRPr="00F86288">
        <w:rPr>
          <w:rFonts w:ascii="Calibri" w:eastAsia="Calibri" w:hAnsi="Calibri" w:cs="Calibri"/>
          <w:b/>
          <w:bCs/>
          <w:sz w:val="36"/>
          <w:szCs w:val="36"/>
        </w:rPr>
        <w:t xml:space="preserve"> un decálogo para frenar la sobrerregulación y recuperar competitividad</w:t>
      </w:r>
      <w:r w:rsidR="004825B7" w:rsidRPr="00F86288">
        <w:rPr>
          <w:rFonts w:ascii="Calibri" w:eastAsia="Calibri" w:hAnsi="Calibri" w:cs="Calibri"/>
          <w:b/>
          <w:bCs/>
          <w:sz w:val="36"/>
          <w:szCs w:val="36"/>
        </w:rPr>
        <w:t xml:space="preserve"> </w:t>
      </w:r>
    </w:p>
    <w:p w14:paraId="2DD14E64" w14:textId="1EA40982" w:rsidR="00F86288" w:rsidRPr="00F86288" w:rsidRDefault="00F86288" w:rsidP="00F86288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sz w:val="22"/>
          <w:szCs w:val="22"/>
          <w:lang w:val="es-ES" w:eastAsia="es-ES"/>
        </w:rPr>
      </w:pPr>
      <w:r w:rsidRPr="00F86288">
        <w:rPr>
          <w:rFonts w:asciiTheme="majorHAnsi" w:hAnsiTheme="majorHAnsi" w:cstheme="majorHAnsi"/>
          <w:b/>
          <w:bCs/>
          <w:sz w:val="22"/>
          <w:szCs w:val="22"/>
          <w:lang w:val="es-ES" w:eastAsia="es-ES"/>
        </w:rPr>
        <w:t xml:space="preserve">El documento es fruto de la </w:t>
      </w:r>
      <w:r w:rsidR="00CC0ABE">
        <w:rPr>
          <w:rFonts w:asciiTheme="majorHAnsi" w:hAnsiTheme="majorHAnsi" w:cstheme="majorHAnsi"/>
          <w:b/>
          <w:bCs/>
          <w:sz w:val="22"/>
          <w:szCs w:val="22"/>
          <w:lang w:val="es-ES" w:eastAsia="es-ES"/>
        </w:rPr>
        <w:t>j</w:t>
      </w:r>
      <w:r w:rsidRPr="00F86288">
        <w:rPr>
          <w:rFonts w:asciiTheme="majorHAnsi" w:hAnsiTheme="majorHAnsi" w:cstheme="majorHAnsi"/>
          <w:b/>
          <w:bCs/>
          <w:sz w:val="22"/>
          <w:szCs w:val="22"/>
          <w:lang w:val="es-ES" w:eastAsia="es-ES"/>
        </w:rPr>
        <w:t xml:space="preserve">ornada </w:t>
      </w:r>
      <w:r w:rsidR="00CC0ABE">
        <w:rPr>
          <w:rFonts w:asciiTheme="majorHAnsi" w:hAnsiTheme="majorHAnsi" w:cstheme="majorHAnsi"/>
          <w:b/>
          <w:bCs/>
          <w:sz w:val="22"/>
          <w:szCs w:val="22"/>
          <w:lang w:val="es-ES" w:eastAsia="es-ES"/>
        </w:rPr>
        <w:t>“</w:t>
      </w:r>
      <w:r w:rsidRPr="00F86288">
        <w:rPr>
          <w:rFonts w:asciiTheme="majorHAnsi" w:hAnsiTheme="majorHAnsi" w:cstheme="majorHAnsi"/>
          <w:b/>
          <w:bCs/>
          <w:sz w:val="22"/>
          <w:szCs w:val="22"/>
          <w:lang w:val="es-ES" w:eastAsia="es-ES"/>
        </w:rPr>
        <w:t>Sobrerregulación en el Sector Agroalimentario</w:t>
      </w:r>
      <w:r w:rsidR="00CC0ABE">
        <w:rPr>
          <w:rFonts w:asciiTheme="majorHAnsi" w:hAnsiTheme="majorHAnsi" w:cstheme="majorHAnsi"/>
          <w:b/>
          <w:bCs/>
          <w:sz w:val="22"/>
          <w:szCs w:val="22"/>
          <w:lang w:val="es-ES" w:eastAsia="es-ES"/>
        </w:rPr>
        <w:t>”</w:t>
      </w:r>
      <w:r w:rsidRPr="00F86288">
        <w:rPr>
          <w:rFonts w:asciiTheme="majorHAnsi" w:hAnsiTheme="majorHAnsi" w:cstheme="majorHAnsi"/>
          <w:b/>
          <w:bCs/>
          <w:sz w:val="22"/>
          <w:szCs w:val="22"/>
          <w:lang w:val="es-ES" w:eastAsia="es-ES"/>
        </w:rPr>
        <w:t>, organizada por el Grupo Alimentario de Innovación y Sostenibilidad (GIS), que reunió a representantes de toda la cadena para consensuar propuestas de regulación más inteligente y aplicable</w:t>
      </w:r>
    </w:p>
    <w:p w14:paraId="59E690DB" w14:textId="77777777" w:rsidR="00F86288" w:rsidRPr="00F86288" w:rsidRDefault="00F86288" w:rsidP="00F86288">
      <w:pPr>
        <w:pStyle w:val="Prrafodelista"/>
        <w:spacing w:before="100" w:beforeAutospacing="1" w:after="100" w:afterAutospacing="1"/>
        <w:ind w:left="360"/>
        <w:jc w:val="both"/>
        <w:rPr>
          <w:rFonts w:asciiTheme="majorHAnsi" w:hAnsiTheme="majorHAnsi" w:cstheme="majorHAnsi"/>
          <w:b/>
          <w:bCs/>
          <w:sz w:val="22"/>
          <w:szCs w:val="22"/>
          <w:lang w:val="es-ES" w:eastAsia="es-ES"/>
        </w:rPr>
      </w:pPr>
    </w:p>
    <w:p w14:paraId="4A0D776D" w14:textId="7D5002D0" w:rsidR="00F86288" w:rsidRPr="00F86288" w:rsidRDefault="00F86288" w:rsidP="00F86288">
      <w:pPr>
        <w:pStyle w:val="Prrafodelista"/>
        <w:numPr>
          <w:ilvl w:val="0"/>
          <w:numId w:val="2"/>
        </w:num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sz w:val="22"/>
          <w:szCs w:val="22"/>
          <w:lang w:val="es-ES" w:eastAsia="es-ES"/>
        </w:rPr>
      </w:pPr>
      <w:r w:rsidRPr="00F86288">
        <w:rPr>
          <w:rFonts w:asciiTheme="majorHAnsi" w:hAnsiTheme="majorHAnsi" w:cstheme="majorHAnsi"/>
          <w:b/>
          <w:bCs/>
          <w:sz w:val="22"/>
          <w:szCs w:val="22"/>
          <w:lang w:val="es-ES" w:eastAsia="es-ES"/>
        </w:rPr>
        <w:t>Entre las principales preocupaciones destacan la carga desproporcionada que soportan pymes y pequeños productores, los largos plazos administrativos y las diferencias normativas entre comunidades autónomas, que están lastrando la inversión y poniendo en riesgo la continuidad de muchas explotaciones</w:t>
      </w:r>
    </w:p>
    <w:p w14:paraId="09F41AEF" w14:textId="613435A9" w:rsidR="007008BF" w:rsidRPr="007E001C" w:rsidRDefault="002B2F7C" w:rsidP="007E001C">
      <w:pPr>
        <w:pStyle w:val="NormalWeb"/>
        <w:jc w:val="both"/>
        <w:rPr>
          <w:rFonts w:asciiTheme="majorHAnsi" w:hAnsiTheme="majorHAnsi" w:cstheme="majorHAnsi"/>
          <w:lang w:val="es-ES" w:eastAsia="es-ES"/>
        </w:rPr>
      </w:pPr>
      <w:r w:rsidRPr="006C2D8F">
        <w:rPr>
          <w:rFonts w:ascii="Calibri" w:eastAsia="Calibri" w:hAnsi="Calibri" w:cs="Calibri"/>
          <w:b/>
          <w:color w:val="000000"/>
          <w:sz w:val="22"/>
          <w:szCs w:val="22"/>
        </w:rPr>
        <w:t xml:space="preserve">Madrid, </w:t>
      </w:r>
      <w:r w:rsidR="00CC0ABE">
        <w:rPr>
          <w:rFonts w:ascii="Calibri" w:eastAsia="Calibri" w:hAnsi="Calibri" w:cs="Calibri"/>
          <w:b/>
          <w:color w:val="000000"/>
          <w:sz w:val="22"/>
          <w:szCs w:val="22"/>
        </w:rPr>
        <w:t>2</w:t>
      </w:r>
      <w:r w:rsidR="005F2C97">
        <w:rPr>
          <w:rFonts w:ascii="Calibri" w:eastAsia="Calibri" w:hAnsi="Calibri" w:cs="Calibri"/>
          <w:b/>
          <w:color w:val="000000"/>
          <w:sz w:val="22"/>
          <w:szCs w:val="22"/>
        </w:rPr>
        <w:t>7</w:t>
      </w:r>
      <w:r w:rsidRPr="006C2D8F"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</w:t>
      </w:r>
      <w:r w:rsidR="007E001C" w:rsidRPr="006C2D8F">
        <w:rPr>
          <w:rFonts w:ascii="Calibri" w:eastAsia="Calibri" w:hAnsi="Calibri" w:cs="Calibri"/>
          <w:b/>
          <w:color w:val="000000"/>
          <w:sz w:val="22"/>
          <w:szCs w:val="22"/>
        </w:rPr>
        <w:t>noviembre</w:t>
      </w:r>
      <w:r w:rsidRPr="006C2D8F">
        <w:rPr>
          <w:rFonts w:ascii="Calibri" w:eastAsia="Calibri" w:hAnsi="Calibri" w:cs="Calibri"/>
          <w:b/>
          <w:color w:val="000000"/>
          <w:sz w:val="22"/>
          <w:szCs w:val="22"/>
        </w:rPr>
        <w:t xml:space="preserve"> de 2025.-</w:t>
      </w:r>
      <w:r w:rsidRPr="006C2D8F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008BF" w:rsidRPr="007E001C">
        <w:rPr>
          <w:rFonts w:asciiTheme="majorHAnsi" w:hAnsiTheme="majorHAnsi" w:cstheme="majorHAnsi"/>
          <w:lang w:val="es-ES" w:eastAsia="es-ES"/>
        </w:rPr>
        <w:t xml:space="preserve">El </w:t>
      </w:r>
      <w:r w:rsidR="007008BF" w:rsidRPr="007E001C">
        <w:rPr>
          <w:rFonts w:asciiTheme="majorHAnsi" w:hAnsiTheme="majorHAnsi" w:cstheme="majorHAnsi"/>
          <w:b/>
          <w:bCs/>
          <w:lang w:val="es-ES" w:eastAsia="es-ES"/>
        </w:rPr>
        <w:t>Grupo Alimentario de Innovación y Sostenibilidad (GIS)</w:t>
      </w:r>
      <w:r w:rsidR="007008BF" w:rsidRPr="007E001C">
        <w:rPr>
          <w:rFonts w:asciiTheme="majorHAnsi" w:hAnsiTheme="majorHAnsi" w:cstheme="majorHAnsi"/>
          <w:lang w:val="es-ES" w:eastAsia="es-ES"/>
        </w:rPr>
        <w:t xml:space="preserve"> </w:t>
      </w:r>
      <w:r w:rsidR="00CC0ABE">
        <w:rPr>
          <w:rFonts w:asciiTheme="majorHAnsi" w:hAnsiTheme="majorHAnsi" w:cstheme="majorHAnsi"/>
          <w:lang w:val="es-ES" w:eastAsia="es-ES"/>
        </w:rPr>
        <w:t>celebró recientemente</w:t>
      </w:r>
      <w:r w:rsidR="007008BF" w:rsidRPr="007E001C">
        <w:rPr>
          <w:rFonts w:asciiTheme="majorHAnsi" w:hAnsiTheme="majorHAnsi" w:cstheme="majorHAnsi"/>
          <w:lang w:val="es-ES" w:eastAsia="es-ES"/>
        </w:rPr>
        <w:t xml:space="preserve"> la </w:t>
      </w:r>
      <w:r w:rsidR="007008BF" w:rsidRPr="007E001C">
        <w:rPr>
          <w:rFonts w:asciiTheme="majorHAnsi" w:hAnsiTheme="majorHAnsi" w:cstheme="majorHAnsi"/>
          <w:b/>
          <w:bCs/>
          <w:lang w:val="es-ES" w:eastAsia="es-ES"/>
        </w:rPr>
        <w:t xml:space="preserve">Jornada </w:t>
      </w:r>
      <w:r w:rsidR="00CC0ABE">
        <w:rPr>
          <w:rFonts w:asciiTheme="majorHAnsi" w:hAnsiTheme="majorHAnsi" w:cstheme="majorHAnsi"/>
          <w:b/>
          <w:bCs/>
          <w:lang w:val="es-ES" w:eastAsia="es-ES"/>
        </w:rPr>
        <w:t>“</w:t>
      </w:r>
      <w:r w:rsidR="007008BF" w:rsidRPr="007E001C">
        <w:rPr>
          <w:rFonts w:asciiTheme="majorHAnsi" w:hAnsiTheme="majorHAnsi" w:cstheme="majorHAnsi"/>
          <w:b/>
          <w:bCs/>
          <w:lang w:val="es-ES" w:eastAsia="es-ES"/>
        </w:rPr>
        <w:t>Sobrerregulación en el Sector Agroalimentario</w:t>
      </w:r>
      <w:r w:rsidR="00CC0ABE">
        <w:rPr>
          <w:rFonts w:asciiTheme="majorHAnsi" w:hAnsiTheme="majorHAnsi" w:cstheme="majorHAnsi"/>
          <w:b/>
          <w:bCs/>
          <w:lang w:val="es-ES" w:eastAsia="es-ES"/>
        </w:rPr>
        <w:t>”</w:t>
      </w:r>
      <w:r w:rsidR="007008BF" w:rsidRPr="007E001C">
        <w:rPr>
          <w:rFonts w:asciiTheme="majorHAnsi" w:hAnsiTheme="majorHAnsi" w:cstheme="majorHAnsi"/>
          <w:lang w:val="es-ES" w:eastAsia="es-ES"/>
        </w:rPr>
        <w:t>, en la que representantes de toda la cadena —</w:t>
      </w:r>
      <w:r w:rsidR="007008BF" w:rsidRPr="007E001C">
        <w:rPr>
          <w:rFonts w:asciiTheme="majorHAnsi" w:hAnsiTheme="majorHAnsi" w:cstheme="majorHAnsi"/>
          <w:b/>
          <w:bCs/>
          <w:lang w:val="es-ES" w:eastAsia="es-ES"/>
        </w:rPr>
        <w:t>productores, industria y distribución</w:t>
      </w:r>
      <w:r w:rsidR="007008BF" w:rsidRPr="007E001C">
        <w:rPr>
          <w:rFonts w:asciiTheme="majorHAnsi" w:hAnsiTheme="majorHAnsi" w:cstheme="majorHAnsi"/>
          <w:lang w:val="es-ES" w:eastAsia="es-ES"/>
        </w:rPr>
        <w:t xml:space="preserve">— </w:t>
      </w:r>
      <w:r w:rsidR="00CC0ABE">
        <w:rPr>
          <w:rFonts w:asciiTheme="majorHAnsi" w:hAnsiTheme="majorHAnsi" w:cstheme="majorHAnsi"/>
          <w:lang w:val="es-ES" w:eastAsia="es-ES"/>
        </w:rPr>
        <w:t>coincidieron</w:t>
      </w:r>
      <w:r w:rsidR="007008BF" w:rsidRPr="007E001C">
        <w:rPr>
          <w:rFonts w:asciiTheme="majorHAnsi" w:hAnsiTheme="majorHAnsi" w:cstheme="majorHAnsi"/>
          <w:lang w:val="es-ES" w:eastAsia="es-ES"/>
        </w:rPr>
        <w:t xml:space="preserve"> en un diagnóstico claro: la </w:t>
      </w:r>
      <w:r w:rsidR="007008BF" w:rsidRPr="007E001C">
        <w:rPr>
          <w:rFonts w:asciiTheme="majorHAnsi" w:hAnsiTheme="majorHAnsi" w:cstheme="majorHAnsi"/>
          <w:b/>
          <w:bCs/>
          <w:lang w:val="es-ES" w:eastAsia="es-ES"/>
        </w:rPr>
        <w:t>sobrerregulación</w:t>
      </w:r>
      <w:r w:rsidR="007008BF" w:rsidRPr="007E001C">
        <w:rPr>
          <w:rFonts w:asciiTheme="majorHAnsi" w:hAnsiTheme="majorHAnsi" w:cstheme="majorHAnsi"/>
          <w:lang w:val="es-ES" w:eastAsia="es-ES"/>
        </w:rPr>
        <w:t xml:space="preserve"> se ha convertido en uno de los principales riesgos estructurales para la </w:t>
      </w:r>
      <w:r w:rsidR="007008BF" w:rsidRPr="007E001C">
        <w:rPr>
          <w:rFonts w:asciiTheme="majorHAnsi" w:hAnsiTheme="majorHAnsi" w:cstheme="majorHAnsi"/>
          <w:b/>
          <w:bCs/>
          <w:lang w:val="es-ES" w:eastAsia="es-ES"/>
        </w:rPr>
        <w:t>competitividad</w:t>
      </w:r>
      <w:r w:rsidR="007008BF" w:rsidRPr="007E001C">
        <w:rPr>
          <w:rFonts w:asciiTheme="majorHAnsi" w:hAnsiTheme="majorHAnsi" w:cstheme="majorHAnsi"/>
          <w:lang w:val="es-ES" w:eastAsia="es-ES"/>
        </w:rPr>
        <w:t xml:space="preserve">, la </w:t>
      </w:r>
      <w:r w:rsidR="007008BF" w:rsidRPr="007E001C">
        <w:rPr>
          <w:rFonts w:asciiTheme="majorHAnsi" w:hAnsiTheme="majorHAnsi" w:cstheme="majorHAnsi"/>
          <w:b/>
          <w:bCs/>
          <w:lang w:val="es-ES" w:eastAsia="es-ES"/>
        </w:rPr>
        <w:t>inversión</w:t>
      </w:r>
      <w:r w:rsidR="007008BF" w:rsidRPr="007E001C">
        <w:rPr>
          <w:rFonts w:asciiTheme="majorHAnsi" w:hAnsiTheme="majorHAnsi" w:cstheme="majorHAnsi"/>
          <w:lang w:val="es-ES" w:eastAsia="es-ES"/>
        </w:rPr>
        <w:t xml:space="preserve"> y la </w:t>
      </w:r>
      <w:r w:rsidR="007008BF" w:rsidRPr="007E001C">
        <w:rPr>
          <w:rFonts w:asciiTheme="majorHAnsi" w:hAnsiTheme="majorHAnsi" w:cstheme="majorHAnsi"/>
          <w:b/>
          <w:bCs/>
          <w:lang w:val="es-ES" w:eastAsia="es-ES"/>
        </w:rPr>
        <w:t>supervivencia</w:t>
      </w:r>
      <w:r w:rsidR="007008BF" w:rsidRPr="007E001C">
        <w:rPr>
          <w:rFonts w:asciiTheme="majorHAnsi" w:hAnsiTheme="majorHAnsi" w:cstheme="majorHAnsi"/>
          <w:lang w:val="es-ES" w:eastAsia="es-ES"/>
        </w:rPr>
        <w:t xml:space="preserve"> del sector en España y en Europa.</w:t>
      </w:r>
    </w:p>
    <w:p w14:paraId="74BA02CF" w14:textId="74D8CE8D" w:rsidR="007008BF" w:rsidRPr="007008BF" w:rsidRDefault="007008BF" w:rsidP="007E001C">
      <w:pPr>
        <w:spacing w:before="100" w:beforeAutospacing="1" w:after="100" w:afterAutospacing="1"/>
        <w:jc w:val="both"/>
        <w:rPr>
          <w:rFonts w:asciiTheme="majorHAnsi" w:hAnsiTheme="majorHAnsi" w:cstheme="majorHAnsi"/>
          <w:lang w:val="es-ES" w:eastAsia="es-ES"/>
        </w:rPr>
      </w:pPr>
      <w:r w:rsidRPr="007008BF">
        <w:rPr>
          <w:rFonts w:asciiTheme="majorHAnsi" w:hAnsiTheme="majorHAnsi" w:cstheme="majorHAnsi"/>
          <w:lang w:val="es-ES" w:eastAsia="es-ES"/>
        </w:rPr>
        <w:t xml:space="preserve">Durante la jornada se insistió en que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la regulación es imprescindible</w:t>
      </w:r>
      <w:r w:rsidRPr="007008BF">
        <w:rPr>
          <w:rFonts w:asciiTheme="majorHAnsi" w:hAnsiTheme="majorHAnsi" w:cstheme="majorHAnsi"/>
          <w:lang w:val="es-ES" w:eastAsia="es-ES"/>
        </w:rPr>
        <w:t xml:space="preserve">, pero que la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acumulación de normas</w:t>
      </w:r>
      <w:r w:rsidRPr="007008BF">
        <w:rPr>
          <w:rFonts w:asciiTheme="majorHAnsi" w:hAnsiTheme="majorHAnsi" w:cstheme="majorHAnsi"/>
          <w:lang w:val="es-ES" w:eastAsia="es-ES"/>
        </w:rPr>
        <w:t xml:space="preserve">, su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complejidad</w:t>
      </w:r>
      <w:r w:rsidRPr="007008BF">
        <w:rPr>
          <w:rFonts w:asciiTheme="majorHAnsi" w:hAnsiTheme="majorHAnsi" w:cstheme="majorHAnsi"/>
          <w:lang w:val="es-ES" w:eastAsia="es-ES"/>
        </w:rPr>
        <w:t xml:space="preserve"> y la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falta de coherencia</w:t>
      </w:r>
      <w:r w:rsidRPr="007008BF">
        <w:rPr>
          <w:rFonts w:asciiTheme="majorHAnsi" w:hAnsiTheme="majorHAnsi" w:cstheme="majorHAnsi"/>
          <w:lang w:val="es-ES" w:eastAsia="es-ES"/>
        </w:rPr>
        <w:t xml:space="preserve"> entre los diferentes niveles administrativos están generando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costes crecientes</w:t>
      </w:r>
      <w:r w:rsidRPr="007008BF">
        <w:rPr>
          <w:rFonts w:asciiTheme="majorHAnsi" w:hAnsiTheme="majorHAnsi" w:cstheme="majorHAnsi"/>
          <w:lang w:val="es-ES" w:eastAsia="es-ES"/>
        </w:rPr>
        <w:t xml:space="preserve">,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inseguridad jurídica</w:t>
      </w:r>
      <w:r w:rsidRPr="007008BF">
        <w:rPr>
          <w:rFonts w:asciiTheme="majorHAnsi" w:hAnsiTheme="majorHAnsi" w:cstheme="majorHAnsi"/>
          <w:lang w:val="es-ES" w:eastAsia="es-ES"/>
        </w:rPr>
        <w:t xml:space="preserve"> y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pérdida de competitividad</w:t>
      </w:r>
      <w:r w:rsidRPr="007008BF">
        <w:rPr>
          <w:rFonts w:asciiTheme="majorHAnsi" w:hAnsiTheme="majorHAnsi" w:cstheme="majorHAnsi"/>
          <w:lang w:val="es-ES" w:eastAsia="es-ES"/>
        </w:rPr>
        <w:t>.</w:t>
      </w:r>
    </w:p>
    <w:p w14:paraId="5FD84EAD" w14:textId="77777777" w:rsidR="008E6FAF" w:rsidRDefault="007008BF" w:rsidP="007E001C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lang w:val="es-ES" w:eastAsia="es-ES"/>
        </w:rPr>
      </w:pPr>
      <w:r w:rsidRPr="007008BF">
        <w:rPr>
          <w:rFonts w:asciiTheme="majorHAnsi" w:hAnsiTheme="majorHAnsi" w:cstheme="majorHAnsi"/>
          <w:b/>
          <w:bCs/>
          <w:lang w:val="es-ES" w:eastAsia="es-ES"/>
        </w:rPr>
        <w:t>Un decálogo para una regulación más inteligente y eficaz</w:t>
      </w:r>
    </w:p>
    <w:p w14:paraId="2A7D64D7" w14:textId="3E53BC2B" w:rsidR="007008BF" w:rsidRPr="007008BF" w:rsidRDefault="007008BF" w:rsidP="007E001C">
      <w:pPr>
        <w:spacing w:before="100" w:beforeAutospacing="1" w:after="100" w:afterAutospacing="1"/>
        <w:jc w:val="both"/>
        <w:rPr>
          <w:rFonts w:asciiTheme="majorHAnsi" w:hAnsiTheme="majorHAnsi" w:cstheme="majorHAnsi"/>
          <w:lang w:val="es-ES" w:eastAsia="es-ES"/>
        </w:rPr>
      </w:pPr>
      <w:r w:rsidRPr="007008BF">
        <w:rPr>
          <w:rFonts w:asciiTheme="majorHAnsi" w:hAnsiTheme="majorHAnsi" w:cstheme="majorHAnsi"/>
          <w:lang w:val="es-ES" w:eastAsia="es-ES"/>
        </w:rPr>
        <w:t xml:space="preserve">Como resultado de la jornada, </w:t>
      </w:r>
      <w:r w:rsidR="00CC0ABE">
        <w:rPr>
          <w:rFonts w:asciiTheme="majorHAnsi" w:hAnsiTheme="majorHAnsi" w:cstheme="majorHAnsi"/>
          <w:lang w:val="es-ES" w:eastAsia="es-ES"/>
        </w:rPr>
        <w:t xml:space="preserve">se ha elaborado </w:t>
      </w:r>
      <w:r w:rsidRPr="007008BF">
        <w:rPr>
          <w:rFonts w:asciiTheme="majorHAnsi" w:hAnsiTheme="majorHAnsi" w:cstheme="majorHAnsi"/>
          <w:lang w:val="es-ES" w:eastAsia="es-ES"/>
        </w:rPr>
        <w:t xml:space="preserve">un </w:t>
      </w:r>
      <w:r w:rsidR="00CC0ABE">
        <w:rPr>
          <w:rFonts w:asciiTheme="majorHAnsi" w:hAnsiTheme="majorHAnsi" w:cstheme="majorHAnsi"/>
          <w:lang w:val="es-ES" w:eastAsia="es-ES"/>
        </w:rPr>
        <w:t>“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Decálogo para afrontar la sobrerregulación</w:t>
      </w:r>
      <w:r w:rsidR="00CC0ABE">
        <w:rPr>
          <w:rFonts w:asciiTheme="majorHAnsi" w:hAnsiTheme="majorHAnsi" w:cstheme="majorHAnsi"/>
          <w:b/>
          <w:bCs/>
          <w:lang w:val="es-ES" w:eastAsia="es-ES"/>
        </w:rPr>
        <w:t>”</w:t>
      </w:r>
      <w:r w:rsidRPr="007008BF">
        <w:rPr>
          <w:rFonts w:asciiTheme="majorHAnsi" w:hAnsiTheme="majorHAnsi" w:cstheme="majorHAnsi"/>
          <w:lang w:val="es-ES" w:eastAsia="es-ES"/>
        </w:rPr>
        <w:t xml:space="preserve"> y avanzar hacia una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regulación más eficiente, proporcionada y basada en el riesgo real</w:t>
      </w:r>
      <w:r w:rsidRPr="007008BF">
        <w:rPr>
          <w:rFonts w:asciiTheme="majorHAnsi" w:hAnsiTheme="majorHAnsi" w:cstheme="majorHAnsi"/>
          <w:lang w:val="es-ES" w:eastAsia="es-ES"/>
        </w:rPr>
        <w:t xml:space="preserve">, que será trasladado a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asociaciones sectoriales</w:t>
      </w:r>
      <w:r w:rsidRPr="007008BF">
        <w:rPr>
          <w:rFonts w:asciiTheme="majorHAnsi" w:hAnsiTheme="majorHAnsi" w:cstheme="majorHAnsi"/>
          <w:lang w:val="es-ES" w:eastAsia="es-ES"/>
        </w:rPr>
        <w:t xml:space="preserve">, a las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Administraciones públicas</w:t>
      </w:r>
      <w:r w:rsidRPr="007008BF">
        <w:rPr>
          <w:rFonts w:asciiTheme="majorHAnsi" w:hAnsiTheme="majorHAnsi" w:cstheme="majorHAnsi"/>
          <w:lang w:val="es-ES" w:eastAsia="es-ES"/>
        </w:rPr>
        <w:t xml:space="preserve"> y, posteriormente, a las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instituciones europeas</w:t>
      </w:r>
      <w:r w:rsidRPr="007008BF">
        <w:rPr>
          <w:rFonts w:asciiTheme="majorHAnsi" w:hAnsiTheme="majorHAnsi" w:cstheme="majorHAnsi"/>
          <w:lang w:val="es-ES" w:eastAsia="es-ES"/>
        </w:rPr>
        <w:t>.</w:t>
      </w:r>
    </w:p>
    <w:p w14:paraId="27924713" w14:textId="7CB903C2" w:rsidR="007008BF" w:rsidRPr="007008BF" w:rsidRDefault="007008BF" w:rsidP="007E001C">
      <w:pPr>
        <w:spacing w:before="100" w:beforeAutospacing="1" w:after="100" w:afterAutospacing="1"/>
        <w:jc w:val="both"/>
        <w:rPr>
          <w:rFonts w:asciiTheme="majorHAnsi" w:hAnsiTheme="majorHAnsi" w:cstheme="majorHAnsi"/>
          <w:lang w:val="es-ES" w:eastAsia="es-ES"/>
        </w:rPr>
      </w:pPr>
      <w:r w:rsidRPr="007008BF">
        <w:rPr>
          <w:rFonts w:asciiTheme="majorHAnsi" w:hAnsiTheme="majorHAnsi" w:cstheme="majorHAnsi"/>
          <w:lang w:val="es-ES" w:eastAsia="es-ES"/>
        </w:rPr>
        <w:t xml:space="preserve">Entre las principales líneas de actuación recogidas en este </w:t>
      </w:r>
      <w:r w:rsidR="00CC0ABE">
        <w:rPr>
          <w:rFonts w:asciiTheme="majorHAnsi" w:hAnsiTheme="majorHAnsi" w:cstheme="majorHAnsi"/>
          <w:lang w:val="es-ES" w:eastAsia="es-ES"/>
        </w:rPr>
        <w:t>documento</w:t>
      </w:r>
      <w:r w:rsidRPr="007008BF">
        <w:rPr>
          <w:rFonts w:asciiTheme="majorHAnsi" w:hAnsiTheme="majorHAnsi" w:cstheme="majorHAnsi"/>
          <w:lang w:val="es-ES" w:eastAsia="es-ES"/>
        </w:rPr>
        <w:t xml:space="preserve"> se plantea la necesidad de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establecer un marco de regulación “inteligente” y no acumulativa</w:t>
      </w:r>
      <w:r w:rsidRPr="007008BF">
        <w:rPr>
          <w:rFonts w:asciiTheme="majorHAnsi" w:hAnsiTheme="majorHAnsi" w:cstheme="majorHAnsi"/>
          <w:lang w:val="es-ES" w:eastAsia="es-ES"/>
        </w:rPr>
        <w:t xml:space="preserve">, basado en normas lógicas, aplicables y coherentes, que eviten la suma indiscriminada de requisitos. Se propone también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implantar una evaluación de impacto previa, obligatoria y pública</w:t>
      </w:r>
      <w:r w:rsidRPr="007008BF">
        <w:rPr>
          <w:rFonts w:asciiTheme="majorHAnsi" w:hAnsiTheme="majorHAnsi" w:cstheme="majorHAnsi"/>
          <w:lang w:val="es-ES" w:eastAsia="es-ES"/>
        </w:rPr>
        <w:t xml:space="preserve">, que analice la proporcionalidad, el coste-beneficio y la aplicabilidad real de cada nueva norma antes de su aprobación, así como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garantizar la coherencia normativa entre departamentos y administraciones</w:t>
      </w:r>
      <w:r w:rsidRPr="007008BF">
        <w:rPr>
          <w:rFonts w:asciiTheme="majorHAnsi" w:hAnsiTheme="majorHAnsi" w:cstheme="majorHAnsi"/>
          <w:lang w:val="es-ES" w:eastAsia="es-ES"/>
        </w:rPr>
        <w:t>, coordinando a los organismos responsables de salud, medio ambiente, agricultura, consumo o transición ecológica.</w:t>
      </w:r>
    </w:p>
    <w:p w14:paraId="31BD7BDF" w14:textId="77777777" w:rsidR="007008BF" w:rsidRPr="007008BF" w:rsidRDefault="007008BF" w:rsidP="007E001C">
      <w:pPr>
        <w:spacing w:before="100" w:beforeAutospacing="1" w:after="100" w:afterAutospacing="1"/>
        <w:jc w:val="both"/>
        <w:rPr>
          <w:rFonts w:asciiTheme="majorHAnsi" w:hAnsiTheme="majorHAnsi" w:cstheme="majorHAnsi"/>
          <w:lang w:val="es-ES" w:eastAsia="es-ES"/>
        </w:rPr>
      </w:pPr>
      <w:r w:rsidRPr="007008BF">
        <w:rPr>
          <w:rFonts w:asciiTheme="majorHAnsi" w:hAnsiTheme="majorHAnsi" w:cstheme="majorHAnsi"/>
          <w:lang w:val="es-ES" w:eastAsia="es-ES"/>
        </w:rPr>
        <w:t xml:space="preserve">Otro eje fundamental es la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reducción de la burocracia y de los tiempos administrativos</w:t>
      </w:r>
      <w:r w:rsidRPr="007008BF">
        <w:rPr>
          <w:rFonts w:asciiTheme="majorHAnsi" w:hAnsiTheme="majorHAnsi" w:cstheme="majorHAnsi"/>
          <w:lang w:val="es-ES" w:eastAsia="es-ES"/>
        </w:rPr>
        <w:t xml:space="preserve">, mediante la agilización de procedimientos, la simplificación de trámites y una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lastRenderedPageBreak/>
        <w:t>digitalización útil</w:t>
      </w:r>
      <w:r w:rsidRPr="007008BF">
        <w:rPr>
          <w:rFonts w:asciiTheme="majorHAnsi" w:hAnsiTheme="majorHAnsi" w:cstheme="majorHAnsi"/>
          <w:lang w:val="es-ES" w:eastAsia="es-ES"/>
        </w:rPr>
        <w:t xml:space="preserve"> que facilite la actividad de empresas y productores. El documento insiste igualmente en la importancia de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reforzar la competitividad del sector</w:t>
      </w:r>
      <w:r w:rsidRPr="007008BF">
        <w:rPr>
          <w:rFonts w:asciiTheme="majorHAnsi" w:hAnsiTheme="majorHAnsi" w:cstheme="majorHAnsi"/>
          <w:lang w:val="es-ES" w:eastAsia="es-ES"/>
        </w:rPr>
        <w:t>, evitando que la regulación incremente los costes, reduzca la oferta y termine trasladándose al precio final que paga el consumidor.</w:t>
      </w:r>
    </w:p>
    <w:p w14:paraId="4D45D6EE" w14:textId="77777777" w:rsidR="007008BF" w:rsidRPr="007008BF" w:rsidRDefault="007008BF" w:rsidP="007E001C">
      <w:pPr>
        <w:spacing w:before="100" w:beforeAutospacing="1" w:after="100" w:afterAutospacing="1"/>
        <w:jc w:val="both"/>
        <w:rPr>
          <w:rFonts w:asciiTheme="majorHAnsi" w:hAnsiTheme="majorHAnsi" w:cstheme="majorHAnsi"/>
          <w:lang w:val="es-ES" w:eastAsia="es-ES"/>
        </w:rPr>
      </w:pPr>
      <w:r w:rsidRPr="007008BF">
        <w:rPr>
          <w:rFonts w:asciiTheme="majorHAnsi" w:hAnsiTheme="majorHAnsi" w:cstheme="majorHAnsi"/>
          <w:lang w:val="es-ES" w:eastAsia="es-ES"/>
        </w:rPr>
        <w:t xml:space="preserve">El enfoque del decálogo apuesta por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evitar la ideologización de la normativa</w:t>
      </w:r>
      <w:r w:rsidRPr="007008BF">
        <w:rPr>
          <w:rFonts w:asciiTheme="majorHAnsi" w:hAnsiTheme="majorHAnsi" w:cstheme="majorHAnsi"/>
          <w:lang w:val="es-ES" w:eastAsia="es-ES"/>
        </w:rPr>
        <w:t xml:space="preserve"> y priorizar los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criterios técnicos, la ciencia y la evidencia disponible</w:t>
      </w:r>
      <w:r w:rsidRPr="007008BF">
        <w:rPr>
          <w:rFonts w:asciiTheme="majorHAnsi" w:hAnsiTheme="majorHAnsi" w:cstheme="majorHAnsi"/>
          <w:lang w:val="es-ES" w:eastAsia="es-ES"/>
        </w:rPr>
        <w:t xml:space="preserve"> en la toma de decisiones. En esta línea, se propone un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enfoque regulatorio basado en el riesgo real</w:t>
      </w:r>
      <w:r w:rsidRPr="007008BF">
        <w:rPr>
          <w:rFonts w:asciiTheme="majorHAnsi" w:hAnsiTheme="majorHAnsi" w:cstheme="majorHAnsi"/>
          <w:lang w:val="es-ES" w:eastAsia="es-ES"/>
        </w:rPr>
        <w:t xml:space="preserve">, que sustituya la lógica centrada solo en el peligro teórico y tenga en cuenta los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avances tecnológicos</w:t>
      </w:r>
      <w:r w:rsidRPr="007008BF">
        <w:rPr>
          <w:rFonts w:asciiTheme="majorHAnsi" w:hAnsiTheme="majorHAnsi" w:cstheme="majorHAnsi"/>
          <w:lang w:val="es-ES" w:eastAsia="es-ES"/>
        </w:rPr>
        <w:t xml:space="preserve"> y las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medidas de mitigación</w:t>
      </w:r>
      <w:r w:rsidRPr="007008BF">
        <w:rPr>
          <w:rFonts w:asciiTheme="majorHAnsi" w:hAnsiTheme="majorHAnsi" w:cstheme="majorHAnsi"/>
          <w:lang w:val="es-ES" w:eastAsia="es-ES"/>
        </w:rPr>
        <w:t xml:space="preserve"> que ya se aplican en la cadena alimentaria.</w:t>
      </w:r>
    </w:p>
    <w:p w14:paraId="0B5335CA" w14:textId="77777777" w:rsidR="007008BF" w:rsidRPr="007008BF" w:rsidRDefault="007008BF" w:rsidP="007E001C">
      <w:pPr>
        <w:spacing w:before="100" w:beforeAutospacing="1" w:after="100" w:afterAutospacing="1"/>
        <w:jc w:val="both"/>
        <w:rPr>
          <w:rFonts w:asciiTheme="majorHAnsi" w:hAnsiTheme="majorHAnsi" w:cstheme="majorHAnsi"/>
          <w:lang w:val="es-ES" w:eastAsia="es-ES"/>
        </w:rPr>
      </w:pPr>
      <w:r w:rsidRPr="007008BF">
        <w:rPr>
          <w:rFonts w:asciiTheme="majorHAnsi" w:hAnsiTheme="majorHAnsi" w:cstheme="majorHAnsi"/>
          <w:lang w:val="es-ES" w:eastAsia="es-ES"/>
        </w:rPr>
        <w:t xml:space="preserve">Asimismo, se subraya la conveniencia de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adaptar la carga normativa a la realidad de las pymes y los pequeños productores</w:t>
      </w:r>
      <w:r w:rsidRPr="007008BF">
        <w:rPr>
          <w:rFonts w:asciiTheme="majorHAnsi" w:hAnsiTheme="majorHAnsi" w:cstheme="majorHAnsi"/>
          <w:lang w:val="es-ES" w:eastAsia="es-ES"/>
        </w:rPr>
        <w:t xml:space="preserve">, de forma que no queden fuera del sistema por un exceso de obligaciones difícilmente asumible. El decálogo pone también el acento en la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armonización de las normativas entre comunidades autónomas</w:t>
      </w:r>
      <w:r w:rsidRPr="007008BF">
        <w:rPr>
          <w:rFonts w:asciiTheme="majorHAnsi" w:hAnsiTheme="majorHAnsi" w:cstheme="majorHAnsi"/>
          <w:lang w:val="es-ES" w:eastAsia="es-ES"/>
        </w:rPr>
        <w:t>, con el fin de reducir diferencias internas que complican el cumplimiento para las empresas con presencia en varios territorios.</w:t>
      </w:r>
    </w:p>
    <w:p w14:paraId="12434B3F" w14:textId="77777777" w:rsidR="007008BF" w:rsidRPr="007008BF" w:rsidRDefault="007008BF" w:rsidP="007E001C">
      <w:pPr>
        <w:spacing w:before="100" w:beforeAutospacing="1" w:after="100" w:afterAutospacing="1"/>
        <w:jc w:val="both"/>
        <w:rPr>
          <w:rFonts w:asciiTheme="majorHAnsi" w:hAnsiTheme="majorHAnsi" w:cstheme="majorHAnsi"/>
          <w:lang w:val="es-ES" w:eastAsia="es-ES"/>
        </w:rPr>
      </w:pPr>
      <w:r w:rsidRPr="007008BF">
        <w:rPr>
          <w:rFonts w:asciiTheme="majorHAnsi" w:hAnsiTheme="majorHAnsi" w:cstheme="majorHAnsi"/>
          <w:lang w:val="es-ES" w:eastAsia="es-ES"/>
        </w:rPr>
        <w:t xml:space="preserve">Finalmente, se propone la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creación de un grupo permanente de trabajo entre el GIS, el sector y la Administración</w:t>
      </w:r>
      <w:r w:rsidRPr="007008BF">
        <w:rPr>
          <w:rFonts w:asciiTheme="majorHAnsi" w:hAnsiTheme="majorHAnsi" w:cstheme="majorHAnsi"/>
          <w:lang w:val="es-ES" w:eastAsia="es-ES"/>
        </w:rPr>
        <w:t xml:space="preserve">, destinado a coordinar reformas, priorizar necesidades y trasladar propuestas de manera ordenada al Gobierno y a las instituciones europeas. Este espacio de diálogo se concibe como una herramienta clave para avanzar hacia un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marco regulatorio más inteligente, coherente, evaluado y aplicable</w:t>
      </w:r>
      <w:r w:rsidRPr="007008BF">
        <w:rPr>
          <w:rFonts w:asciiTheme="majorHAnsi" w:hAnsiTheme="majorHAnsi" w:cstheme="majorHAnsi"/>
          <w:lang w:val="es-ES" w:eastAsia="es-ES"/>
        </w:rPr>
        <w:t>.</w:t>
      </w:r>
    </w:p>
    <w:p w14:paraId="187199B9" w14:textId="60D226C1" w:rsidR="00765B12" w:rsidRDefault="007008BF" w:rsidP="007E001C">
      <w:pPr>
        <w:spacing w:before="100" w:beforeAutospacing="1" w:after="100" w:afterAutospacing="1"/>
        <w:jc w:val="both"/>
        <w:rPr>
          <w:rFonts w:asciiTheme="majorHAnsi" w:hAnsiTheme="majorHAnsi" w:cstheme="majorHAnsi"/>
          <w:lang w:val="es-ES" w:eastAsia="es-ES"/>
        </w:rPr>
      </w:pPr>
      <w:r w:rsidRPr="007008BF">
        <w:rPr>
          <w:rFonts w:asciiTheme="majorHAnsi" w:hAnsiTheme="majorHAnsi" w:cstheme="majorHAnsi"/>
          <w:lang w:val="es-ES" w:eastAsia="es-ES"/>
        </w:rPr>
        <w:t xml:space="preserve">En conjunto, la simplificación normativa se perfila como una auténtica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condición de supervivencia</w:t>
      </w:r>
      <w:r w:rsidRPr="007008BF">
        <w:rPr>
          <w:rFonts w:asciiTheme="majorHAnsi" w:hAnsiTheme="majorHAnsi" w:cstheme="majorHAnsi"/>
          <w:lang w:val="es-ES" w:eastAsia="es-ES"/>
        </w:rPr>
        <w:t xml:space="preserve"> para el sector agroalimentario. Desde la cadena alimentaria se plantea la necesidad de trabajar de forma conjunta para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explicar a la sociedad el impacto real de la sobrerregulación</w:t>
      </w:r>
      <w:r w:rsidRPr="007008BF">
        <w:rPr>
          <w:rFonts w:asciiTheme="majorHAnsi" w:hAnsiTheme="majorHAnsi" w:cstheme="majorHAnsi"/>
          <w:lang w:val="es-ES" w:eastAsia="es-ES"/>
        </w:rPr>
        <w:t xml:space="preserve"> en los precios, en la oferta y en la viabilidad de miles de explotaciones y empresas, con un objetivo compartido: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regulación sí, pero una regulación que funcione</w:t>
      </w:r>
      <w:r w:rsidRPr="007008BF">
        <w:rPr>
          <w:rFonts w:asciiTheme="majorHAnsi" w:hAnsiTheme="majorHAnsi" w:cstheme="majorHAnsi"/>
          <w:lang w:val="es-ES" w:eastAsia="es-ES"/>
        </w:rPr>
        <w:t xml:space="preserve">, que proteja al consumidor y al entorno, y que al mismo tiempo permita a los productores, a la industria y a la distribución seguir siendo </w:t>
      </w:r>
      <w:r w:rsidRPr="007008BF">
        <w:rPr>
          <w:rFonts w:asciiTheme="majorHAnsi" w:hAnsiTheme="majorHAnsi" w:cstheme="majorHAnsi"/>
          <w:b/>
          <w:bCs/>
          <w:lang w:val="es-ES" w:eastAsia="es-ES"/>
        </w:rPr>
        <w:t>competitivos, innovadores y sostenibles</w:t>
      </w:r>
      <w:r w:rsidRPr="007008BF">
        <w:rPr>
          <w:rFonts w:asciiTheme="majorHAnsi" w:hAnsiTheme="majorHAnsi" w:cstheme="majorHAnsi"/>
          <w:lang w:val="es-ES" w:eastAsia="es-ES"/>
        </w:rPr>
        <w:t xml:space="preserve"> en el medio y largo plazo.</w:t>
      </w:r>
    </w:p>
    <w:p w14:paraId="7925AEEC" w14:textId="3EB9312D" w:rsidR="00CC0ABE" w:rsidRPr="005F2C97" w:rsidRDefault="005F2C97" w:rsidP="007E001C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bCs/>
          <w:lang w:val="es-ES" w:eastAsia="es-ES"/>
        </w:rPr>
      </w:pPr>
      <w:r w:rsidRPr="005F2C97">
        <w:rPr>
          <w:rFonts w:asciiTheme="majorHAnsi" w:hAnsiTheme="majorHAnsi" w:cstheme="majorHAnsi"/>
          <w:b/>
          <w:bCs/>
          <w:lang w:val="es-ES" w:eastAsia="es-ES"/>
        </w:rPr>
        <w:t>Enlace descarga r</w:t>
      </w:r>
      <w:r w:rsidR="00CC0ABE" w:rsidRPr="005F2C97">
        <w:rPr>
          <w:rFonts w:asciiTheme="majorHAnsi" w:hAnsiTheme="majorHAnsi" w:cstheme="majorHAnsi"/>
          <w:b/>
          <w:bCs/>
          <w:lang w:val="es-ES" w:eastAsia="es-ES"/>
        </w:rPr>
        <w:t xml:space="preserve">esumen </w:t>
      </w:r>
      <w:r w:rsidRPr="005F2C97">
        <w:rPr>
          <w:rFonts w:asciiTheme="majorHAnsi" w:hAnsiTheme="majorHAnsi" w:cstheme="majorHAnsi"/>
          <w:b/>
          <w:bCs/>
          <w:lang w:val="es-ES" w:eastAsia="es-ES"/>
        </w:rPr>
        <w:t xml:space="preserve">y Decálogo: </w:t>
      </w:r>
      <w:hyperlink r:id="rId7" w:history="1">
        <w:r w:rsidRPr="005F2C97">
          <w:rPr>
            <w:rStyle w:val="Hipervnculo"/>
            <w:rFonts w:asciiTheme="majorHAnsi" w:hAnsiTheme="majorHAnsi" w:cstheme="majorHAnsi"/>
            <w:b/>
            <w:bCs/>
            <w:lang w:val="es-ES" w:eastAsia="es-ES"/>
          </w:rPr>
          <w:t>http://www.gisalimentario.es/empresas-agroalimentarias/eventos/jornada-sobrerregulacion-en-el-sector-agroalimentario_2321_94_2853_0_1_in.html</w:t>
        </w:r>
      </w:hyperlink>
      <w:r w:rsidRPr="005F2C97">
        <w:rPr>
          <w:rFonts w:asciiTheme="majorHAnsi" w:hAnsiTheme="majorHAnsi" w:cstheme="majorHAnsi"/>
          <w:b/>
          <w:bCs/>
          <w:lang w:val="es-ES" w:eastAsia="es-ES"/>
        </w:rPr>
        <w:t xml:space="preserve"> </w:t>
      </w:r>
    </w:p>
    <w:p w14:paraId="3A0329E4" w14:textId="77777777" w:rsidR="005F2C97" w:rsidRDefault="005F2C97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ptos" w:eastAsia="Aptos" w:hAnsi="Aptos" w:cs="Aptos"/>
          <w:b/>
          <w:color w:val="000000"/>
          <w:sz w:val="21"/>
          <w:szCs w:val="21"/>
        </w:rPr>
      </w:pPr>
    </w:p>
    <w:p w14:paraId="174A05DC" w14:textId="21A7B623" w:rsidR="003C7228" w:rsidRDefault="002B2F7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ptos" w:eastAsia="Aptos" w:hAnsi="Aptos" w:cs="Aptos"/>
          <w:b/>
          <w:color w:val="000000"/>
          <w:sz w:val="21"/>
          <w:szCs w:val="21"/>
        </w:rPr>
      </w:pPr>
      <w:r>
        <w:rPr>
          <w:rFonts w:ascii="Aptos" w:eastAsia="Aptos" w:hAnsi="Aptos" w:cs="Aptos"/>
          <w:b/>
          <w:color w:val="000000"/>
          <w:sz w:val="21"/>
          <w:szCs w:val="21"/>
        </w:rPr>
        <w:t>Más información:</w:t>
      </w:r>
    </w:p>
    <w:p w14:paraId="0DCF791B" w14:textId="77777777" w:rsidR="003C7228" w:rsidRDefault="002B2F7C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="Aptos" w:eastAsia="Aptos" w:hAnsi="Aptos" w:cs="Aptos"/>
          <w:color w:val="000000"/>
          <w:sz w:val="22"/>
          <w:szCs w:val="22"/>
        </w:rPr>
      </w:pPr>
      <w:r>
        <w:rPr>
          <w:rFonts w:ascii="Aptos" w:eastAsia="Aptos" w:hAnsi="Aptos" w:cs="Aptos"/>
          <w:color w:val="000000"/>
          <w:sz w:val="21"/>
          <w:szCs w:val="21"/>
        </w:rPr>
        <w:t xml:space="preserve">Mari Carmen Martínez Mulleras. </w:t>
      </w:r>
      <w:hyperlink r:id="rId8">
        <w:r>
          <w:rPr>
            <w:rFonts w:ascii="Aptos" w:eastAsia="Aptos" w:hAnsi="Aptos" w:cs="Aptos"/>
            <w:color w:val="467886"/>
            <w:sz w:val="21"/>
            <w:szCs w:val="21"/>
            <w:u w:val="single"/>
          </w:rPr>
          <w:t>info@gisalimentario.es</w:t>
        </w:r>
      </w:hyperlink>
      <w:r>
        <w:rPr>
          <w:rFonts w:ascii="Aptos" w:eastAsia="Aptos" w:hAnsi="Aptos" w:cs="Aptos"/>
          <w:color w:val="000000"/>
          <w:sz w:val="21"/>
          <w:szCs w:val="21"/>
        </w:rPr>
        <w:t xml:space="preserve"> 91 721 7929</w:t>
      </w:r>
    </w:p>
    <w:sectPr w:rsidR="003C7228">
      <w:headerReference w:type="default" r:id="rId9"/>
      <w:footerReference w:type="default" r:id="rId10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7B050" w14:textId="77777777" w:rsidR="001A5E0A" w:rsidRDefault="001A5E0A">
      <w:r>
        <w:separator/>
      </w:r>
    </w:p>
  </w:endnote>
  <w:endnote w:type="continuationSeparator" w:id="0">
    <w:p w14:paraId="6847563B" w14:textId="77777777" w:rsidR="001A5E0A" w:rsidRDefault="001A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m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9AAB" w14:textId="77777777" w:rsidR="003C7228" w:rsidRDefault="003C7228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BAAF7" w14:textId="77777777" w:rsidR="001A5E0A" w:rsidRDefault="001A5E0A">
      <w:r>
        <w:separator/>
      </w:r>
    </w:p>
  </w:footnote>
  <w:footnote w:type="continuationSeparator" w:id="0">
    <w:p w14:paraId="2D699E3B" w14:textId="77777777" w:rsidR="001A5E0A" w:rsidRDefault="001A5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71180" w14:textId="77777777" w:rsidR="003C7228" w:rsidRDefault="002B2F7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478"/>
      </w:tabs>
      <w:jc w:val="center"/>
      <w:rPr>
        <w:rFonts w:ascii="Aptos" w:eastAsia="Aptos" w:hAnsi="Aptos" w:cs="Aptos"/>
        <w:color w:val="000000"/>
        <w:sz w:val="22"/>
        <w:szCs w:val="22"/>
      </w:rPr>
    </w:pPr>
    <w:r>
      <w:rPr>
        <w:rFonts w:ascii="Aptos" w:eastAsia="Aptos" w:hAnsi="Aptos" w:cs="Aptos"/>
        <w:noProof/>
        <w:color w:val="000000"/>
        <w:sz w:val="22"/>
        <w:szCs w:val="22"/>
      </w:rPr>
      <w:drawing>
        <wp:inline distT="0" distB="0" distL="0" distR="0" wp14:anchorId="51972803" wp14:editId="2EE6CF89">
          <wp:extent cx="2176316" cy="907200"/>
          <wp:effectExtent l="0" t="0" r="0" b="0"/>
          <wp:docPr id="1" name="image1.png" descr="Interfaz de usuario gráfica, Aplicación&#10;&#10;El contenido generado por IA puede ser incorrec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terfaz de usuario gráfica, Aplicación&#10;&#10;El contenido generado por IA puede ser incorrec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76316" cy="90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42B79"/>
    <w:multiLevelType w:val="multilevel"/>
    <w:tmpl w:val="1BF4C97E"/>
    <w:lvl w:ilvl="0">
      <w:start w:val="1"/>
      <w:numFmt w:val="bullet"/>
      <w:lvlText w:val="●"/>
      <w:lvlJc w:val="left"/>
      <w:pPr>
        <w:ind w:left="33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5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770" w:hanging="330"/>
      </w:pPr>
      <w:rPr>
        <w:rFonts w:ascii="Arimo" w:eastAsia="Arimo" w:hAnsi="Arimo" w:cs="Arimo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49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1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30" w:hanging="330"/>
      </w:pPr>
      <w:rPr>
        <w:rFonts w:ascii="Arimo" w:eastAsia="Arimo" w:hAnsi="Arimo" w:cs="Arimo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5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370" w:hanging="330"/>
      </w:pPr>
      <w:rPr>
        <w:rFonts w:ascii="Helvetica Neue" w:eastAsia="Helvetica Neue" w:hAnsi="Helvetica Neue" w:cs="Helvetica Neue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090" w:hanging="330"/>
      </w:pPr>
      <w:rPr>
        <w:rFonts w:ascii="Arimo" w:eastAsia="Arimo" w:hAnsi="Arimo" w:cs="Arimo"/>
        <w:b w:val="0"/>
        <w:i w:val="0"/>
        <w:smallCaps w:val="0"/>
        <w:strike w:val="0"/>
        <w:sz w:val="22"/>
        <w:szCs w:val="22"/>
        <w:shd w:val="clear" w:color="auto" w:fill="auto"/>
        <w:vertAlign w:val="baseline"/>
      </w:rPr>
    </w:lvl>
  </w:abstractNum>
  <w:abstractNum w:abstractNumId="1" w15:restartNumberingAfterBreak="0">
    <w:nsid w:val="52321AB1"/>
    <w:multiLevelType w:val="multilevel"/>
    <w:tmpl w:val="739471AC"/>
    <w:lvl w:ilvl="0">
      <w:start w:val="1"/>
      <w:numFmt w:val="bullet"/>
      <w:lvlText w:val="●"/>
      <w:lvlJc w:val="left"/>
      <w:pPr>
        <w:ind w:left="36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Helvetica Neue" w:eastAsia="Helvetica Neue" w:hAnsi="Helvetica Neue" w:cs="Helvetica Neue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Arimo" w:eastAsia="Arimo" w:hAnsi="Arimo" w:cs="Arimo"/>
        <w:b w:val="0"/>
        <w:i w:val="0"/>
        <w:smallCaps w:val="0"/>
        <w:strike w:val="0"/>
        <w:shd w:val="clear" w:color="auto" w:fill="auto"/>
        <w:vertAlign w:val="baseline"/>
      </w:rPr>
    </w:lvl>
  </w:abstractNum>
  <w:num w:numId="1" w16cid:durableId="2026397730">
    <w:abstractNumId w:val="0"/>
  </w:num>
  <w:num w:numId="2" w16cid:durableId="17284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228"/>
    <w:rsid w:val="00016F68"/>
    <w:rsid w:val="00041ED2"/>
    <w:rsid w:val="00077E04"/>
    <w:rsid w:val="000B3E4E"/>
    <w:rsid w:val="000C1287"/>
    <w:rsid w:val="000E4F06"/>
    <w:rsid w:val="0010405D"/>
    <w:rsid w:val="00137631"/>
    <w:rsid w:val="00143122"/>
    <w:rsid w:val="00171478"/>
    <w:rsid w:val="001738DC"/>
    <w:rsid w:val="00177C26"/>
    <w:rsid w:val="0018500C"/>
    <w:rsid w:val="001A5E0A"/>
    <w:rsid w:val="001C65A1"/>
    <w:rsid w:val="001D3D32"/>
    <w:rsid w:val="001E3145"/>
    <w:rsid w:val="001E559A"/>
    <w:rsid w:val="00204BB0"/>
    <w:rsid w:val="002077E2"/>
    <w:rsid w:val="002155EF"/>
    <w:rsid w:val="0022138B"/>
    <w:rsid w:val="00225FAB"/>
    <w:rsid w:val="00250424"/>
    <w:rsid w:val="002B2F7C"/>
    <w:rsid w:val="002D7668"/>
    <w:rsid w:val="002E1B57"/>
    <w:rsid w:val="002E7578"/>
    <w:rsid w:val="002F435E"/>
    <w:rsid w:val="003003AC"/>
    <w:rsid w:val="003547EE"/>
    <w:rsid w:val="003906C5"/>
    <w:rsid w:val="003A3B81"/>
    <w:rsid w:val="003C257F"/>
    <w:rsid w:val="003C38A9"/>
    <w:rsid w:val="003C7228"/>
    <w:rsid w:val="003D1B3F"/>
    <w:rsid w:val="003E5088"/>
    <w:rsid w:val="003F6224"/>
    <w:rsid w:val="0040537B"/>
    <w:rsid w:val="004260AE"/>
    <w:rsid w:val="00443E0B"/>
    <w:rsid w:val="00476B46"/>
    <w:rsid w:val="004825B7"/>
    <w:rsid w:val="004850E3"/>
    <w:rsid w:val="00497239"/>
    <w:rsid w:val="004B0538"/>
    <w:rsid w:val="004C47BC"/>
    <w:rsid w:val="00536BC2"/>
    <w:rsid w:val="0054711F"/>
    <w:rsid w:val="00573163"/>
    <w:rsid w:val="00580299"/>
    <w:rsid w:val="00580500"/>
    <w:rsid w:val="00586756"/>
    <w:rsid w:val="005B79EC"/>
    <w:rsid w:val="005C282C"/>
    <w:rsid w:val="005C5033"/>
    <w:rsid w:val="005D1BB6"/>
    <w:rsid w:val="005E66B1"/>
    <w:rsid w:val="005F2C97"/>
    <w:rsid w:val="0061560A"/>
    <w:rsid w:val="006339E2"/>
    <w:rsid w:val="00653D41"/>
    <w:rsid w:val="006A3D76"/>
    <w:rsid w:val="006B26C8"/>
    <w:rsid w:val="006C2D8F"/>
    <w:rsid w:val="006C4B85"/>
    <w:rsid w:val="006D4D1E"/>
    <w:rsid w:val="006E64CF"/>
    <w:rsid w:val="007008BF"/>
    <w:rsid w:val="00713603"/>
    <w:rsid w:val="0071418B"/>
    <w:rsid w:val="007438D4"/>
    <w:rsid w:val="00765B12"/>
    <w:rsid w:val="00791A1B"/>
    <w:rsid w:val="00792E74"/>
    <w:rsid w:val="007950D4"/>
    <w:rsid w:val="007E001C"/>
    <w:rsid w:val="00861F53"/>
    <w:rsid w:val="00865D57"/>
    <w:rsid w:val="00890E35"/>
    <w:rsid w:val="00895CF7"/>
    <w:rsid w:val="008976E5"/>
    <w:rsid w:val="008A442C"/>
    <w:rsid w:val="008B1F62"/>
    <w:rsid w:val="008C7204"/>
    <w:rsid w:val="008E6FAF"/>
    <w:rsid w:val="008F0735"/>
    <w:rsid w:val="00906907"/>
    <w:rsid w:val="00910D51"/>
    <w:rsid w:val="00912751"/>
    <w:rsid w:val="00932016"/>
    <w:rsid w:val="00941125"/>
    <w:rsid w:val="009D5E05"/>
    <w:rsid w:val="00A16330"/>
    <w:rsid w:val="00A37921"/>
    <w:rsid w:val="00A711F8"/>
    <w:rsid w:val="00A73552"/>
    <w:rsid w:val="00A7662A"/>
    <w:rsid w:val="00A81053"/>
    <w:rsid w:val="00B00CF0"/>
    <w:rsid w:val="00B320A3"/>
    <w:rsid w:val="00BB7DB4"/>
    <w:rsid w:val="00BD1ABC"/>
    <w:rsid w:val="00BD6CDF"/>
    <w:rsid w:val="00BE6D6B"/>
    <w:rsid w:val="00C06299"/>
    <w:rsid w:val="00C22248"/>
    <w:rsid w:val="00C409BE"/>
    <w:rsid w:val="00C84C01"/>
    <w:rsid w:val="00CB781D"/>
    <w:rsid w:val="00CC0ABE"/>
    <w:rsid w:val="00CC5EA8"/>
    <w:rsid w:val="00CF01E6"/>
    <w:rsid w:val="00D03FBA"/>
    <w:rsid w:val="00D3003D"/>
    <w:rsid w:val="00D61A80"/>
    <w:rsid w:val="00D6661A"/>
    <w:rsid w:val="00D81877"/>
    <w:rsid w:val="00DC16F0"/>
    <w:rsid w:val="00DC4F2E"/>
    <w:rsid w:val="00DD4622"/>
    <w:rsid w:val="00E05C95"/>
    <w:rsid w:val="00E3365F"/>
    <w:rsid w:val="00E3611C"/>
    <w:rsid w:val="00E815E2"/>
    <w:rsid w:val="00E9148E"/>
    <w:rsid w:val="00EC5F5B"/>
    <w:rsid w:val="00ED20AC"/>
    <w:rsid w:val="00ED56AD"/>
    <w:rsid w:val="00EF3F60"/>
    <w:rsid w:val="00F1103C"/>
    <w:rsid w:val="00F137EF"/>
    <w:rsid w:val="00F16134"/>
    <w:rsid w:val="00F2359E"/>
    <w:rsid w:val="00F72F4D"/>
    <w:rsid w:val="00F86288"/>
    <w:rsid w:val="00FA0ACC"/>
    <w:rsid w:val="00FA7E6B"/>
    <w:rsid w:val="00FB2691"/>
    <w:rsid w:val="00FB7CC0"/>
    <w:rsid w:val="00FE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9A99E"/>
  <w15:docId w15:val="{BBD8F174-B53A-924C-83EA-ED026E549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160" w:after="80" w:line="276" w:lineRule="auto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9148E"/>
  </w:style>
  <w:style w:type="paragraph" w:styleId="Encabezado">
    <w:name w:val="header"/>
    <w:basedOn w:val="Normal"/>
    <w:link w:val="EncabezadoCar"/>
    <w:uiPriority w:val="99"/>
    <w:unhideWhenUsed/>
    <w:rsid w:val="005B79E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79EC"/>
  </w:style>
  <w:style w:type="paragraph" w:styleId="Piedepgina">
    <w:name w:val="footer"/>
    <w:basedOn w:val="Normal"/>
    <w:link w:val="PiedepginaCar"/>
    <w:uiPriority w:val="99"/>
    <w:unhideWhenUsed/>
    <w:rsid w:val="005B79E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79EC"/>
  </w:style>
  <w:style w:type="paragraph" w:styleId="Prrafodelista">
    <w:name w:val="List Paragraph"/>
    <w:basedOn w:val="Normal"/>
    <w:uiPriority w:val="34"/>
    <w:qFormat/>
    <w:rsid w:val="00D03FB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F2C9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F2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8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9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5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49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24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75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5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27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305039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0590822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217153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7602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1487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6149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87540152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8099340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3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90855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5059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57365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0117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833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3067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2785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8594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7489552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8449290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998219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189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4633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655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152907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73749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9733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39337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527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6743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3936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07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109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5764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50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479611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11255621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558836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781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2921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1516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486329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888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0927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234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48335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7726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7402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33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05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8040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4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5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1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2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93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9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89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7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isalimentario.e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isalimentario.es/empresas-agroalimentarias/eventos/jornada-sobrerregulacion-en-el-sector-agroalimentario_2321_94_2853_0_1_i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816</Words>
  <Characters>4493</Characters>
  <Application>Microsoft Office Word</Application>
  <DocSecurity>4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María del Carmen Martínez</dc:creator>
  <cp:lastModifiedBy>María del Carmen Martínez</cp:lastModifiedBy>
  <cp:revision>2</cp:revision>
  <dcterms:created xsi:type="dcterms:W3CDTF">2025-11-27T10:42:00Z</dcterms:created>
  <dcterms:modified xsi:type="dcterms:W3CDTF">2025-11-27T10:42:00Z</dcterms:modified>
</cp:coreProperties>
</file>