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AF5F" w14:textId="54C03B2E" w:rsidR="00592A09" w:rsidRDefault="00E97294" w:rsidP="00592A09">
      <w:pPr>
        <w:pStyle w:val="Prrafodelista"/>
        <w:ind w:left="360"/>
        <w:jc w:val="center"/>
        <w:rPr>
          <w:b/>
          <w:bCs/>
          <w:color w:val="C00000"/>
        </w:rPr>
      </w:pPr>
      <w:r w:rsidRPr="00F05D9F">
        <w:rPr>
          <w:b/>
          <w:bCs/>
          <w:color w:val="C00000"/>
        </w:rPr>
        <w:t xml:space="preserve">Juver </w:t>
      </w:r>
      <w:r w:rsidR="003040BC">
        <w:rPr>
          <w:b/>
          <w:bCs/>
          <w:color w:val="C00000"/>
        </w:rPr>
        <w:t>A</w:t>
      </w:r>
      <w:r w:rsidRPr="00F05D9F">
        <w:rPr>
          <w:b/>
          <w:bCs/>
          <w:color w:val="C00000"/>
        </w:rPr>
        <w:t>limentación alcanza una facturación de 162,8 millones de euros y eleva un 15,7 % su ebitda en el ejercicio 2024-2025</w:t>
      </w:r>
    </w:p>
    <w:p w14:paraId="36397653" w14:textId="77777777" w:rsidR="00592A09" w:rsidRDefault="00592A09" w:rsidP="00BD2EB7">
      <w:pPr>
        <w:pStyle w:val="Prrafodelista"/>
        <w:ind w:left="708"/>
        <w:jc w:val="both"/>
        <w:rPr>
          <w:b/>
          <w:bCs/>
          <w:color w:val="C00000"/>
        </w:rPr>
      </w:pPr>
    </w:p>
    <w:p w14:paraId="59E075EB" w14:textId="77777777" w:rsidR="00BD2EB7" w:rsidRDefault="00BD2EB7" w:rsidP="00BD2EB7">
      <w:pPr>
        <w:pStyle w:val="Prrafodelista"/>
        <w:numPr>
          <w:ilvl w:val="0"/>
          <w:numId w:val="4"/>
        </w:numPr>
        <w:jc w:val="both"/>
        <w:rPr>
          <w:rFonts w:eastAsia="Times New Roman" w:cstheme="minorHAnsi"/>
          <w:sz w:val="22"/>
          <w:szCs w:val="22"/>
          <w:lang w:eastAsia="es-ES"/>
        </w:rPr>
      </w:pPr>
      <w:r w:rsidRPr="00BD2EB7">
        <w:rPr>
          <w:rFonts w:eastAsia="Times New Roman" w:cstheme="minorHAnsi"/>
          <w:sz w:val="22"/>
          <w:szCs w:val="22"/>
          <w:lang w:eastAsia="es-ES"/>
        </w:rPr>
        <w:t>Durante este periodo se destinaron 12,6 millones de euros a modernización industrial y transformación tecnológica, reforzando la competitividad de la compañía.</w:t>
      </w:r>
    </w:p>
    <w:p w14:paraId="53118658" w14:textId="25641109" w:rsidR="00BD2EB7" w:rsidRDefault="00BD2EB7" w:rsidP="00BD2EB7">
      <w:pPr>
        <w:pStyle w:val="Prrafodelista"/>
        <w:numPr>
          <w:ilvl w:val="0"/>
          <w:numId w:val="4"/>
        </w:numPr>
        <w:jc w:val="both"/>
        <w:rPr>
          <w:rFonts w:eastAsia="Times New Roman" w:cstheme="minorHAnsi"/>
          <w:sz w:val="22"/>
          <w:szCs w:val="22"/>
          <w:lang w:eastAsia="es-ES"/>
        </w:rPr>
      </w:pPr>
      <w:r w:rsidRPr="00BD2EB7">
        <w:rPr>
          <w:rFonts w:eastAsia="Times New Roman" w:cstheme="minorHAnsi"/>
          <w:sz w:val="22"/>
          <w:szCs w:val="22"/>
          <w:lang w:eastAsia="es-ES"/>
        </w:rPr>
        <w:t xml:space="preserve">Por canales, el </w:t>
      </w:r>
      <w:r w:rsidR="00CD03E8">
        <w:rPr>
          <w:rFonts w:eastAsia="Times New Roman" w:cstheme="minorHAnsi"/>
          <w:sz w:val="22"/>
          <w:szCs w:val="22"/>
          <w:lang w:eastAsia="es-ES"/>
        </w:rPr>
        <w:t>C</w:t>
      </w:r>
      <w:r w:rsidRPr="00BD2EB7">
        <w:rPr>
          <w:rFonts w:eastAsia="Times New Roman" w:cstheme="minorHAnsi"/>
          <w:sz w:val="22"/>
          <w:szCs w:val="22"/>
          <w:lang w:eastAsia="es-ES"/>
        </w:rPr>
        <w:t xml:space="preserve">ash &amp; </w:t>
      </w:r>
      <w:r w:rsidR="00CD03E8">
        <w:rPr>
          <w:rFonts w:eastAsia="Times New Roman" w:cstheme="minorHAnsi"/>
          <w:sz w:val="22"/>
          <w:szCs w:val="22"/>
          <w:lang w:eastAsia="es-ES"/>
        </w:rPr>
        <w:t>C</w:t>
      </w:r>
      <w:r w:rsidRPr="00BD2EB7">
        <w:rPr>
          <w:rFonts w:eastAsia="Times New Roman" w:cstheme="minorHAnsi"/>
          <w:sz w:val="22"/>
          <w:szCs w:val="22"/>
          <w:lang w:eastAsia="es-ES"/>
        </w:rPr>
        <w:t>arry sigue siendo un motor clave, con liderazgo entre fabricantes (19,1 % de cuota); además, el formato botellín alcanza su mejor registro histórico (55,4 %) y se mantiene como la única marca en crecimiento en este segmento.</w:t>
      </w:r>
    </w:p>
    <w:p w14:paraId="5C27B84B" w14:textId="333D55CE" w:rsidR="00BD2EB7" w:rsidRPr="00BD2EB7" w:rsidRDefault="00BD2EB7" w:rsidP="00BD2EB7">
      <w:pPr>
        <w:pStyle w:val="Prrafodelista"/>
        <w:numPr>
          <w:ilvl w:val="0"/>
          <w:numId w:val="4"/>
        </w:numPr>
        <w:jc w:val="both"/>
        <w:rPr>
          <w:rFonts w:eastAsia="Times New Roman" w:cstheme="minorHAnsi"/>
          <w:sz w:val="22"/>
          <w:szCs w:val="22"/>
          <w:lang w:eastAsia="es-ES"/>
        </w:rPr>
      </w:pPr>
      <w:r w:rsidRPr="00BD2EB7">
        <w:rPr>
          <w:rFonts w:eastAsia="Times New Roman" w:cstheme="minorHAnsi"/>
          <w:sz w:val="22"/>
          <w:szCs w:val="22"/>
          <w:lang w:eastAsia="es-ES"/>
        </w:rPr>
        <w:t>La actividad internacional sigue al alza y representa ya el 22,7 % del volumen y alrededor del 24 % de los ingresos, con expansión en Asia, Centroamérica y el Caribe.</w:t>
      </w:r>
    </w:p>
    <w:p w14:paraId="5641BFB6" w14:textId="32227114" w:rsidR="00592A09" w:rsidRPr="00592A09" w:rsidRDefault="00592A09" w:rsidP="00BD2EB7">
      <w:pPr>
        <w:jc w:val="both"/>
        <w:rPr>
          <w:sz w:val="22"/>
          <w:szCs w:val="22"/>
        </w:rPr>
      </w:pPr>
      <w:r w:rsidRPr="003B77F4">
        <w:rPr>
          <w:b/>
          <w:bCs/>
        </w:rPr>
        <w:t xml:space="preserve">Murcia, </w:t>
      </w:r>
      <w:r w:rsidR="00E35FDC">
        <w:rPr>
          <w:b/>
          <w:bCs/>
        </w:rPr>
        <w:t>9</w:t>
      </w:r>
      <w:r w:rsidRPr="003B77F4">
        <w:rPr>
          <w:b/>
          <w:bCs/>
        </w:rPr>
        <w:t xml:space="preserve"> de </w:t>
      </w:r>
      <w:r w:rsidR="00E97294">
        <w:rPr>
          <w:b/>
          <w:bCs/>
        </w:rPr>
        <w:t>diciembre</w:t>
      </w:r>
      <w:r w:rsidRPr="003B77F4">
        <w:rPr>
          <w:b/>
          <w:bCs/>
        </w:rPr>
        <w:t xml:space="preserve"> de 2025</w:t>
      </w:r>
      <w:r w:rsidRPr="00592A09">
        <w:rPr>
          <w:b/>
          <w:bCs/>
          <w:sz w:val="22"/>
          <w:szCs w:val="22"/>
        </w:rPr>
        <w:t>.</w:t>
      </w:r>
      <w:r w:rsidRPr="00592A09">
        <w:rPr>
          <w:sz w:val="22"/>
          <w:szCs w:val="22"/>
        </w:rPr>
        <w:t xml:space="preserve">  Juver Alimentación, compañía referente en la elaboración de zumos y néctares, ha cerrado el ejercicio fiscal 2024-2025 con una </w:t>
      </w:r>
      <w:r w:rsidRPr="00592A09">
        <w:rPr>
          <w:b/>
          <w:bCs/>
          <w:sz w:val="22"/>
          <w:szCs w:val="22"/>
        </w:rPr>
        <w:t>facturación de 162,8 millones de euros</w:t>
      </w:r>
      <w:r w:rsidRPr="00592A09">
        <w:rPr>
          <w:sz w:val="22"/>
          <w:szCs w:val="22"/>
        </w:rPr>
        <w:t> (</w:t>
      </w:r>
      <w:r w:rsidRPr="00592A09">
        <w:rPr>
          <w:b/>
          <w:bCs/>
          <w:sz w:val="22"/>
          <w:szCs w:val="22"/>
        </w:rPr>
        <w:t>+2,1 %</w:t>
      </w:r>
      <w:r w:rsidRPr="00592A09">
        <w:rPr>
          <w:sz w:val="22"/>
          <w:szCs w:val="22"/>
        </w:rPr>
        <w:t>). Asimismo, el </w:t>
      </w:r>
      <w:r w:rsidRPr="00592A09">
        <w:rPr>
          <w:b/>
          <w:bCs/>
          <w:sz w:val="22"/>
          <w:szCs w:val="22"/>
        </w:rPr>
        <w:t>EBITDA</w:t>
      </w:r>
      <w:r w:rsidRPr="00592A09">
        <w:rPr>
          <w:sz w:val="22"/>
          <w:szCs w:val="22"/>
        </w:rPr>
        <w:t> se situó en </w:t>
      </w:r>
      <w:r w:rsidRPr="00592A09">
        <w:rPr>
          <w:b/>
          <w:bCs/>
          <w:sz w:val="22"/>
          <w:szCs w:val="22"/>
        </w:rPr>
        <w:t>9,4 millones</w:t>
      </w:r>
      <w:r w:rsidRPr="00592A09">
        <w:rPr>
          <w:sz w:val="22"/>
          <w:szCs w:val="22"/>
        </w:rPr>
        <w:t> (</w:t>
      </w:r>
      <w:r w:rsidRPr="00592A09">
        <w:rPr>
          <w:b/>
          <w:bCs/>
          <w:sz w:val="22"/>
          <w:szCs w:val="22"/>
        </w:rPr>
        <w:t>+15,7 %</w:t>
      </w:r>
      <w:r w:rsidRPr="00592A09">
        <w:rPr>
          <w:sz w:val="22"/>
          <w:szCs w:val="22"/>
        </w:rPr>
        <w:t>) gracias a mejoras operativas y medidas de eficiencia, mientras que el </w:t>
      </w:r>
      <w:r w:rsidRPr="00592A09">
        <w:rPr>
          <w:b/>
          <w:bCs/>
          <w:sz w:val="22"/>
          <w:szCs w:val="22"/>
        </w:rPr>
        <w:t>resultado neto</w:t>
      </w:r>
      <w:r w:rsidRPr="00592A09">
        <w:rPr>
          <w:sz w:val="22"/>
          <w:szCs w:val="22"/>
        </w:rPr>
        <w:t> alcanzó </w:t>
      </w:r>
      <w:r w:rsidRPr="00592A09">
        <w:rPr>
          <w:b/>
          <w:bCs/>
          <w:sz w:val="22"/>
          <w:szCs w:val="22"/>
        </w:rPr>
        <w:t>0,98 millones de euros</w:t>
      </w:r>
      <w:r w:rsidRPr="00592A09">
        <w:rPr>
          <w:sz w:val="22"/>
          <w:szCs w:val="22"/>
        </w:rPr>
        <w:t xml:space="preserve"> tras la ejecución de </w:t>
      </w:r>
      <w:r w:rsidR="00CF7C80">
        <w:rPr>
          <w:sz w:val="22"/>
          <w:szCs w:val="22"/>
        </w:rPr>
        <w:t xml:space="preserve">la primera fase del </w:t>
      </w:r>
      <w:r w:rsidR="00CF7C80">
        <w:rPr>
          <w:b/>
          <w:bCs/>
          <w:sz w:val="22"/>
          <w:szCs w:val="22"/>
        </w:rPr>
        <w:t>P</w:t>
      </w:r>
      <w:r w:rsidRPr="00592A09">
        <w:rPr>
          <w:b/>
          <w:bCs/>
          <w:sz w:val="22"/>
          <w:szCs w:val="22"/>
        </w:rPr>
        <w:t xml:space="preserve">lan </w:t>
      </w:r>
      <w:r w:rsidR="00CF7C80">
        <w:rPr>
          <w:b/>
          <w:bCs/>
          <w:sz w:val="22"/>
          <w:szCs w:val="22"/>
        </w:rPr>
        <w:t>R</w:t>
      </w:r>
      <w:r w:rsidR="00C63429">
        <w:rPr>
          <w:b/>
          <w:bCs/>
          <w:sz w:val="22"/>
          <w:szCs w:val="22"/>
        </w:rPr>
        <w:t>enove</w:t>
      </w:r>
      <w:r w:rsidR="00CF7C80">
        <w:rPr>
          <w:b/>
          <w:bCs/>
          <w:sz w:val="22"/>
          <w:szCs w:val="22"/>
        </w:rPr>
        <w:t>, en el cu</w:t>
      </w:r>
      <w:r w:rsidR="006F6F13">
        <w:rPr>
          <w:b/>
          <w:bCs/>
          <w:sz w:val="22"/>
          <w:szCs w:val="22"/>
        </w:rPr>
        <w:t>al la compañía ha invertido</w:t>
      </w:r>
      <w:r w:rsidRPr="00592A09">
        <w:rPr>
          <w:b/>
          <w:bCs/>
          <w:sz w:val="22"/>
          <w:szCs w:val="22"/>
        </w:rPr>
        <w:t xml:space="preserve"> 12,6 millones</w:t>
      </w:r>
      <w:r w:rsidRPr="00592A09">
        <w:rPr>
          <w:sz w:val="22"/>
          <w:szCs w:val="22"/>
        </w:rPr>
        <w:t xml:space="preserve"> orientado a modernización industrial y transformación tecnológica. </w:t>
      </w:r>
    </w:p>
    <w:p w14:paraId="16A84E73" w14:textId="1AEF9BE7" w:rsidR="00C63429" w:rsidRDefault="00592A09" w:rsidP="00C63429">
      <w:pPr>
        <w:jc w:val="both"/>
        <w:rPr>
          <w:sz w:val="22"/>
          <w:szCs w:val="22"/>
        </w:rPr>
      </w:pPr>
      <w:r w:rsidRPr="004437C3">
        <w:rPr>
          <w:sz w:val="22"/>
          <w:szCs w:val="22"/>
        </w:rPr>
        <w:t xml:space="preserve">Estos resultados se apoyan en un desempeño sólido del mercado nacional. </w:t>
      </w:r>
      <w:r w:rsidR="00C63429" w:rsidRPr="004437C3">
        <w:rPr>
          <w:sz w:val="22"/>
          <w:szCs w:val="22"/>
        </w:rPr>
        <w:t xml:space="preserve">Pese a la presión inflacionaria del sector, la compañía afianzó su presencia en </w:t>
      </w:r>
      <w:r w:rsidR="00CD03E8" w:rsidRPr="004437C3">
        <w:rPr>
          <w:b/>
          <w:bCs/>
          <w:sz w:val="22"/>
          <w:szCs w:val="22"/>
        </w:rPr>
        <w:t>R</w:t>
      </w:r>
      <w:r w:rsidR="00C63429" w:rsidRPr="004437C3">
        <w:rPr>
          <w:b/>
          <w:bCs/>
          <w:sz w:val="22"/>
          <w:szCs w:val="22"/>
        </w:rPr>
        <w:t xml:space="preserve">etail, </w:t>
      </w:r>
      <w:r w:rsidR="00CD03E8" w:rsidRPr="004437C3">
        <w:rPr>
          <w:b/>
          <w:bCs/>
          <w:sz w:val="22"/>
          <w:szCs w:val="22"/>
        </w:rPr>
        <w:t>C</w:t>
      </w:r>
      <w:r w:rsidR="00C63429" w:rsidRPr="004437C3">
        <w:rPr>
          <w:b/>
          <w:bCs/>
          <w:sz w:val="22"/>
          <w:szCs w:val="22"/>
        </w:rPr>
        <w:t xml:space="preserve">ash &amp; </w:t>
      </w:r>
      <w:r w:rsidR="00CD03E8" w:rsidRPr="004437C3">
        <w:rPr>
          <w:b/>
          <w:bCs/>
          <w:sz w:val="22"/>
          <w:szCs w:val="22"/>
        </w:rPr>
        <w:t>C</w:t>
      </w:r>
      <w:r w:rsidR="00C63429" w:rsidRPr="004437C3">
        <w:rPr>
          <w:b/>
          <w:bCs/>
          <w:sz w:val="22"/>
          <w:szCs w:val="22"/>
        </w:rPr>
        <w:t>arry y Horeca</w:t>
      </w:r>
      <w:r w:rsidR="00C63429" w:rsidRPr="004437C3">
        <w:rPr>
          <w:sz w:val="22"/>
          <w:szCs w:val="22"/>
        </w:rPr>
        <w:t xml:space="preserve">, manteniendo la estabilidad de precios. </w:t>
      </w:r>
      <w:r w:rsidR="00EA1726" w:rsidRPr="004437C3">
        <w:rPr>
          <w:sz w:val="22"/>
          <w:szCs w:val="22"/>
        </w:rPr>
        <w:t>En supermercados e hipermercados de</w:t>
      </w:r>
      <w:r w:rsidR="00C63429" w:rsidRPr="004437C3">
        <w:rPr>
          <w:sz w:val="22"/>
          <w:szCs w:val="22"/>
        </w:rPr>
        <w:t xml:space="preserve"> Península, </w:t>
      </w:r>
      <w:r w:rsidR="00F82CBD" w:rsidRPr="004437C3">
        <w:rPr>
          <w:sz w:val="22"/>
          <w:szCs w:val="22"/>
        </w:rPr>
        <w:t xml:space="preserve">alcanza </w:t>
      </w:r>
      <w:r w:rsidR="00C63429" w:rsidRPr="004437C3">
        <w:rPr>
          <w:sz w:val="22"/>
          <w:szCs w:val="22"/>
        </w:rPr>
        <w:t xml:space="preserve">un </w:t>
      </w:r>
      <w:r w:rsidR="00C63429" w:rsidRPr="004437C3">
        <w:rPr>
          <w:b/>
          <w:bCs/>
          <w:sz w:val="22"/>
          <w:szCs w:val="22"/>
        </w:rPr>
        <w:t>5,7 % de cuota en volumen</w:t>
      </w:r>
      <w:r w:rsidR="00C63429" w:rsidRPr="004437C3">
        <w:rPr>
          <w:sz w:val="22"/>
          <w:szCs w:val="22"/>
        </w:rPr>
        <w:t xml:space="preserve">, </w:t>
      </w:r>
      <w:r w:rsidR="004C79E7" w:rsidRPr="004437C3">
        <w:rPr>
          <w:sz w:val="22"/>
          <w:szCs w:val="22"/>
        </w:rPr>
        <w:t xml:space="preserve">liderando </w:t>
      </w:r>
      <w:r w:rsidR="00C63429" w:rsidRPr="004437C3">
        <w:rPr>
          <w:sz w:val="22"/>
          <w:szCs w:val="22"/>
        </w:rPr>
        <w:t xml:space="preserve">el segmento de néctares, con un </w:t>
      </w:r>
      <w:r w:rsidR="00C63429" w:rsidRPr="004437C3">
        <w:rPr>
          <w:b/>
          <w:bCs/>
          <w:sz w:val="22"/>
          <w:szCs w:val="22"/>
        </w:rPr>
        <w:t>10 %</w:t>
      </w:r>
      <w:r w:rsidR="00C63429" w:rsidRPr="004437C3">
        <w:rPr>
          <w:sz w:val="22"/>
          <w:szCs w:val="22"/>
        </w:rPr>
        <w:t>. En Canarias, se mantiene como primera marca en zumos ambiente (</w:t>
      </w:r>
      <w:r w:rsidR="00C63429" w:rsidRPr="004437C3">
        <w:rPr>
          <w:b/>
          <w:bCs/>
          <w:sz w:val="22"/>
          <w:szCs w:val="22"/>
        </w:rPr>
        <w:t>15,2 %</w:t>
      </w:r>
      <w:r w:rsidR="00C63429" w:rsidRPr="004437C3">
        <w:rPr>
          <w:sz w:val="22"/>
          <w:szCs w:val="22"/>
        </w:rPr>
        <w:t>) y néctares (</w:t>
      </w:r>
      <w:r w:rsidR="00C63429" w:rsidRPr="004437C3">
        <w:rPr>
          <w:b/>
          <w:bCs/>
          <w:sz w:val="22"/>
          <w:szCs w:val="22"/>
        </w:rPr>
        <w:t>21,4 %</w:t>
      </w:r>
      <w:r w:rsidR="00C63429" w:rsidRPr="004437C3">
        <w:rPr>
          <w:sz w:val="22"/>
          <w:szCs w:val="22"/>
        </w:rPr>
        <w:t>).</w:t>
      </w:r>
    </w:p>
    <w:p w14:paraId="0344151A" w14:textId="0A8D1718" w:rsidR="00C63429" w:rsidRPr="00C63429" w:rsidRDefault="00C63429" w:rsidP="00C63429">
      <w:pPr>
        <w:jc w:val="both"/>
        <w:rPr>
          <w:sz w:val="22"/>
          <w:szCs w:val="22"/>
        </w:rPr>
      </w:pPr>
      <w:r w:rsidRPr="00C63429">
        <w:rPr>
          <w:sz w:val="22"/>
          <w:szCs w:val="22"/>
        </w:rPr>
        <w:t xml:space="preserve">Por canales, el </w:t>
      </w:r>
      <w:r w:rsidR="00CD03E8" w:rsidRPr="004437C3">
        <w:rPr>
          <w:b/>
          <w:bCs/>
          <w:sz w:val="22"/>
          <w:szCs w:val="22"/>
        </w:rPr>
        <w:t>C</w:t>
      </w:r>
      <w:r w:rsidRPr="004437C3">
        <w:rPr>
          <w:b/>
          <w:bCs/>
          <w:sz w:val="22"/>
          <w:szCs w:val="22"/>
        </w:rPr>
        <w:t xml:space="preserve">ash &amp; </w:t>
      </w:r>
      <w:r w:rsidR="00CD03E8" w:rsidRPr="004437C3">
        <w:rPr>
          <w:b/>
          <w:bCs/>
          <w:sz w:val="22"/>
          <w:szCs w:val="22"/>
        </w:rPr>
        <w:t>C</w:t>
      </w:r>
      <w:r w:rsidRPr="004437C3">
        <w:rPr>
          <w:b/>
          <w:bCs/>
          <w:sz w:val="22"/>
          <w:szCs w:val="22"/>
        </w:rPr>
        <w:t>arry</w:t>
      </w:r>
      <w:r w:rsidRPr="004437C3">
        <w:rPr>
          <w:sz w:val="22"/>
          <w:szCs w:val="22"/>
        </w:rPr>
        <w:t xml:space="preserve"> sigue</w:t>
      </w:r>
      <w:r w:rsidRPr="00C63429">
        <w:rPr>
          <w:sz w:val="22"/>
          <w:szCs w:val="22"/>
        </w:rPr>
        <w:t xml:space="preserve"> siendo un motor clave, con liderazgo entre fabricantes (</w:t>
      </w:r>
      <w:r w:rsidRPr="00C63429">
        <w:rPr>
          <w:b/>
          <w:bCs/>
          <w:sz w:val="22"/>
          <w:szCs w:val="22"/>
        </w:rPr>
        <w:t>19,1 % de cuota</w:t>
      </w:r>
      <w:r w:rsidRPr="00C63429">
        <w:rPr>
          <w:sz w:val="22"/>
          <w:szCs w:val="22"/>
        </w:rPr>
        <w:t>), mientras que el formato botellín alcanza su mejor registro histórico (</w:t>
      </w:r>
      <w:r w:rsidRPr="00C63429">
        <w:rPr>
          <w:b/>
          <w:bCs/>
          <w:sz w:val="22"/>
          <w:szCs w:val="22"/>
        </w:rPr>
        <w:t>55,4 %</w:t>
      </w:r>
      <w:r w:rsidRPr="00C63429">
        <w:rPr>
          <w:sz w:val="22"/>
          <w:szCs w:val="22"/>
        </w:rPr>
        <w:t xml:space="preserve">) y se mantiene como la única marca en crecimiento en este segmento. En </w:t>
      </w:r>
      <w:r w:rsidRPr="00C63429">
        <w:rPr>
          <w:b/>
          <w:bCs/>
          <w:sz w:val="22"/>
          <w:szCs w:val="22"/>
        </w:rPr>
        <w:t>Horeca</w:t>
      </w:r>
      <w:r w:rsidRPr="00C63429">
        <w:rPr>
          <w:sz w:val="22"/>
          <w:szCs w:val="22"/>
        </w:rPr>
        <w:t xml:space="preserve">, la compañía refuerza su posición de referencia con una </w:t>
      </w:r>
      <w:r w:rsidRPr="00C63429">
        <w:rPr>
          <w:b/>
          <w:bCs/>
          <w:sz w:val="22"/>
          <w:szCs w:val="22"/>
        </w:rPr>
        <w:t>cuota del 22,5 % en volumen</w:t>
      </w:r>
      <w:r w:rsidRPr="00C63429">
        <w:rPr>
          <w:sz w:val="22"/>
          <w:szCs w:val="22"/>
        </w:rPr>
        <w:t xml:space="preserve">, presente en más de </w:t>
      </w:r>
      <w:r w:rsidRPr="00C63429">
        <w:rPr>
          <w:b/>
          <w:bCs/>
          <w:sz w:val="22"/>
          <w:szCs w:val="22"/>
        </w:rPr>
        <w:t>80.000 bares y cafeterías</w:t>
      </w:r>
      <w:r w:rsidRPr="00C63429">
        <w:rPr>
          <w:sz w:val="22"/>
          <w:szCs w:val="22"/>
        </w:rPr>
        <w:t xml:space="preserve"> en España.</w:t>
      </w:r>
    </w:p>
    <w:p w14:paraId="3104202D" w14:textId="054E1B37" w:rsidR="00592A09" w:rsidRPr="00592A09" w:rsidRDefault="00592A09" w:rsidP="00592A09">
      <w:pPr>
        <w:jc w:val="both"/>
        <w:rPr>
          <w:b/>
          <w:bCs/>
          <w:sz w:val="22"/>
          <w:szCs w:val="22"/>
        </w:rPr>
      </w:pPr>
      <w:r w:rsidRPr="00592A09">
        <w:rPr>
          <w:b/>
          <w:bCs/>
          <w:sz w:val="22"/>
          <w:szCs w:val="22"/>
        </w:rPr>
        <w:t xml:space="preserve">Expansión internacional </w:t>
      </w:r>
    </w:p>
    <w:p w14:paraId="6DF42D1D" w14:textId="312A5C4A" w:rsidR="00EB45C9" w:rsidRPr="00EB45C9" w:rsidRDefault="00A60ED6" w:rsidP="00EB45C9">
      <w:pPr>
        <w:jc w:val="both"/>
        <w:rPr>
          <w:sz w:val="22"/>
          <w:szCs w:val="22"/>
        </w:rPr>
      </w:pPr>
      <w:r>
        <w:rPr>
          <w:sz w:val="22"/>
          <w:szCs w:val="22"/>
        </w:rPr>
        <w:t>La compañía</w:t>
      </w:r>
      <w:r w:rsidR="00EB45C9" w:rsidRPr="00EB45C9">
        <w:rPr>
          <w:sz w:val="22"/>
          <w:szCs w:val="22"/>
        </w:rPr>
        <w:t xml:space="preserve"> conforma un grupo con una sólida base nacional, que concentra el </w:t>
      </w:r>
      <w:r w:rsidR="00EB45C9" w:rsidRPr="00EB45C9">
        <w:rPr>
          <w:b/>
          <w:bCs/>
          <w:sz w:val="22"/>
          <w:szCs w:val="22"/>
        </w:rPr>
        <w:t>77,3 % de su volumen de negocio.</w:t>
      </w:r>
      <w:r w:rsidR="00EB45C9" w:rsidRPr="00EB45C9">
        <w:rPr>
          <w:sz w:val="22"/>
          <w:szCs w:val="22"/>
        </w:rPr>
        <w:t xml:space="preserve"> La actividad exterior continúa ganando relevancia y se ha consolidado como una de las palancas </w:t>
      </w:r>
      <w:r w:rsidR="00EB45C9">
        <w:rPr>
          <w:sz w:val="22"/>
          <w:szCs w:val="22"/>
        </w:rPr>
        <w:t>clave</w:t>
      </w:r>
      <w:r w:rsidR="00EB45C9" w:rsidRPr="00EB45C9">
        <w:rPr>
          <w:sz w:val="22"/>
          <w:szCs w:val="22"/>
        </w:rPr>
        <w:t xml:space="preserve"> de su plan estratégico 2025-2030. En la actualidad, las exportaciones representan cerca del 24 % de los ingresos </w:t>
      </w:r>
      <w:r w:rsidR="00EB45C9" w:rsidRPr="00EB45C9">
        <w:rPr>
          <w:b/>
          <w:bCs/>
          <w:sz w:val="22"/>
          <w:szCs w:val="22"/>
        </w:rPr>
        <w:t>y la compañía está presente en más de 80 países,</w:t>
      </w:r>
      <w:r w:rsidR="00EB45C9" w:rsidRPr="00EB45C9">
        <w:rPr>
          <w:sz w:val="22"/>
          <w:szCs w:val="22"/>
        </w:rPr>
        <w:t xml:space="preserve"> con un portafolio adaptado a las preferencias locales.</w:t>
      </w:r>
    </w:p>
    <w:p w14:paraId="0960AF24" w14:textId="34B0B408" w:rsidR="00A10864" w:rsidRPr="00A10864" w:rsidRDefault="0067206E" w:rsidP="00A10864">
      <w:pPr>
        <w:jc w:val="both"/>
        <w:rPr>
          <w:sz w:val="22"/>
          <w:szCs w:val="22"/>
        </w:rPr>
      </w:pPr>
      <w:r w:rsidRPr="0067206E">
        <w:rPr>
          <w:sz w:val="22"/>
          <w:szCs w:val="22"/>
        </w:rPr>
        <w:t xml:space="preserve">En los últimos años, la compañía ha ampliado su implantación en </w:t>
      </w:r>
      <w:r w:rsidRPr="0067206E">
        <w:rPr>
          <w:b/>
          <w:bCs/>
          <w:sz w:val="22"/>
          <w:szCs w:val="22"/>
        </w:rPr>
        <w:t>Asia y Centroamérica</w:t>
      </w:r>
      <w:r w:rsidRPr="0067206E">
        <w:rPr>
          <w:sz w:val="22"/>
          <w:szCs w:val="22"/>
        </w:rPr>
        <w:t xml:space="preserve">, con nuevos acuerdos en Centroamérica y el Caribe, y ha impulsado de manera destacada el canal de e-commerce en Japón y Corea del Sur. Además, cada vez gana </w:t>
      </w:r>
      <w:r w:rsidRPr="0067206E">
        <w:rPr>
          <w:b/>
          <w:bCs/>
          <w:sz w:val="22"/>
          <w:szCs w:val="22"/>
        </w:rPr>
        <w:t>mayor presencia en los retailers europeos</w:t>
      </w:r>
      <w:r w:rsidRPr="0067206E">
        <w:rPr>
          <w:sz w:val="22"/>
          <w:szCs w:val="22"/>
        </w:rPr>
        <w:t xml:space="preserve"> gracias a su gama </w:t>
      </w:r>
      <w:r w:rsidRPr="0067206E">
        <w:rPr>
          <w:i/>
          <w:iCs/>
          <w:sz w:val="22"/>
          <w:szCs w:val="22"/>
        </w:rPr>
        <w:t>Selección</w:t>
      </w:r>
      <w:r w:rsidRPr="0067206E">
        <w:rPr>
          <w:sz w:val="22"/>
          <w:szCs w:val="22"/>
        </w:rPr>
        <w:t xml:space="preserve">. </w:t>
      </w:r>
      <w:r w:rsidR="00A10864" w:rsidRPr="00A10864">
        <w:rPr>
          <w:sz w:val="22"/>
          <w:szCs w:val="22"/>
        </w:rPr>
        <w:t xml:space="preserve">Por otra parte, la empresa </w:t>
      </w:r>
      <w:r w:rsidR="00A10864" w:rsidRPr="00A10864">
        <w:rPr>
          <w:sz w:val="22"/>
          <w:szCs w:val="22"/>
        </w:rPr>
        <w:lastRenderedPageBreak/>
        <w:t xml:space="preserve">mantiene </w:t>
      </w:r>
      <w:r w:rsidR="00806B3E">
        <w:rPr>
          <w:sz w:val="22"/>
          <w:szCs w:val="22"/>
        </w:rPr>
        <w:t xml:space="preserve">su </w:t>
      </w:r>
      <w:r w:rsidR="00A10864" w:rsidRPr="00A10864">
        <w:rPr>
          <w:sz w:val="22"/>
          <w:szCs w:val="22"/>
        </w:rPr>
        <w:t>presencia en Marruecos,donde exporta tanto su marca propia como diversas marcas españolas, consolidando así su acceso al mercado marroquí.</w:t>
      </w:r>
    </w:p>
    <w:p w14:paraId="75FEC0E5" w14:textId="5D2B9EE4" w:rsidR="0067206E" w:rsidRDefault="0067206E" w:rsidP="00A10864">
      <w:pPr>
        <w:jc w:val="both"/>
        <w:rPr>
          <w:sz w:val="22"/>
          <w:szCs w:val="22"/>
        </w:rPr>
      </w:pPr>
      <w:r w:rsidRPr="0067206E">
        <w:rPr>
          <w:sz w:val="22"/>
          <w:szCs w:val="22"/>
        </w:rPr>
        <w:t xml:space="preserve">La estrategia exterior prioriza mercados con mayor potencial y rentabilidad, explorando de forma selectiva oportunidades en </w:t>
      </w:r>
      <w:r w:rsidRPr="006C3F18">
        <w:rPr>
          <w:b/>
          <w:bCs/>
          <w:sz w:val="22"/>
          <w:szCs w:val="22"/>
        </w:rPr>
        <w:t>MENA y Europa Central</w:t>
      </w:r>
      <w:r w:rsidRPr="0067206E">
        <w:rPr>
          <w:sz w:val="22"/>
          <w:szCs w:val="22"/>
        </w:rPr>
        <w:t>. Este enfoque ha permitido consolidar la presencia en Asia, expandir la distribución en Centroamérica y el Caribe con propuestas de mayor valor añadido, y reforzar su crecimiento sostenido en Europa.</w:t>
      </w:r>
    </w:p>
    <w:p w14:paraId="6DD08A5D" w14:textId="11DA8E46" w:rsidR="00696042" w:rsidRDefault="003E6211" w:rsidP="00696042">
      <w:pPr>
        <w:jc w:val="both"/>
        <w:rPr>
          <w:i/>
          <w:iCs/>
          <w:sz w:val="22"/>
          <w:szCs w:val="22"/>
        </w:rPr>
      </w:pPr>
      <w:r>
        <w:rPr>
          <w:sz w:val="22"/>
          <w:szCs w:val="22"/>
        </w:rPr>
        <w:t xml:space="preserve">En palabras de Pepe Hernández, CEO de Juver Alimentación: </w:t>
      </w:r>
      <w:r w:rsidRPr="003E6211">
        <w:rPr>
          <w:i/>
          <w:iCs/>
          <w:sz w:val="22"/>
          <w:szCs w:val="22"/>
        </w:rPr>
        <w:t>“Operamos en un mercado nacional cada vez más maduro, donde crecer exige diferenciación, eficiencia y un foco en la creación de valor. En este contexto,</w:t>
      </w:r>
      <w:r w:rsidR="00696042">
        <w:rPr>
          <w:i/>
          <w:iCs/>
          <w:sz w:val="22"/>
          <w:szCs w:val="22"/>
        </w:rPr>
        <w:t xml:space="preserve"> l</w:t>
      </w:r>
      <w:r w:rsidR="00696042" w:rsidRPr="00696042">
        <w:rPr>
          <w:i/>
          <w:iCs/>
          <w:sz w:val="22"/>
          <w:szCs w:val="22"/>
        </w:rPr>
        <w:t>a internacionalización continúa desempeñando un papel decisivo para diversificar nuestro negocio y afianzar nuestra posición global.</w:t>
      </w:r>
      <w:r w:rsidR="00696042">
        <w:rPr>
          <w:i/>
          <w:iCs/>
          <w:sz w:val="22"/>
          <w:szCs w:val="22"/>
        </w:rPr>
        <w:t>”</w:t>
      </w:r>
    </w:p>
    <w:p w14:paraId="55847FD7" w14:textId="5819B8BA" w:rsidR="00592A09" w:rsidRPr="00592A09" w:rsidRDefault="003D0F6D" w:rsidP="00696042">
      <w:pPr>
        <w:jc w:val="both"/>
        <w:rPr>
          <w:b/>
          <w:bCs/>
          <w:sz w:val="22"/>
          <w:szCs w:val="22"/>
        </w:rPr>
      </w:pPr>
      <w:r>
        <w:rPr>
          <w:b/>
          <w:bCs/>
          <w:sz w:val="22"/>
          <w:szCs w:val="22"/>
        </w:rPr>
        <w:t xml:space="preserve">Compromiso ambiental y social </w:t>
      </w:r>
    </w:p>
    <w:p w14:paraId="2660FD01" w14:textId="77777777" w:rsidR="00167B28" w:rsidRPr="00167B28" w:rsidRDefault="00167B28" w:rsidP="00167B28">
      <w:pPr>
        <w:jc w:val="both"/>
        <w:rPr>
          <w:sz w:val="22"/>
          <w:szCs w:val="22"/>
        </w:rPr>
      </w:pPr>
      <w:r w:rsidRPr="00167B28">
        <w:rPr>
          <w:sz w:val="22"/>
          <w:szCs w:val="22"/>
        </w:rPr>
        <w:t xml:space="preserve">En materia de sostenibilidad y eficiencia energética, las emisiones de CO₂ se redujeron un </w:t>
      </w:r>
      <w:r w:rsidRPr="00167B28">
        <w:rPr>
          <w:b/>
          <w:bCs/>
          <w:sz w:val="22"/>
          <w:szCs w:val="22"/>
        </w:rPr>
        <w:t>3,8 %</w:t>
      </w:r>
      <w:r w:rsidRPr="00167B28">
        <w:rPr>
          <w:sz w:val="22"/>
          <w:szCs w:val="22"/>
        </w:rPr>
        <w:t xml:space="preserve"> pese al incremento de actividad, apoyadas en mejoras de eficiencia eléctrica y reducción del consumo de gasóleo. Además, se reforzó la estrategia contra el desperdicio alimentario, logrando reducir un </w:t>
      </w:r>
      <w:r w:rsidRPr="00167B28">
        <w:rPr>
          <w:b/>
          <w:bCs/>
          <w:sz w:val="22"/>
          <w:szCs w:val="22"/>
        </w:rPr>
        <w:t>83 % la obsolescencia de producto terminado</w:t>
      </w:r>
      <w:r w:rsidRPr="00167B28">
        <w:rPr>
          <w:sz w:val="22"/>
          <w:szCs w:val="22"/>
        </w:rPr>
        <w:t xml:space="preserve"> y un </w:t>
      </w:r>
      <w:r w:rsidRPr="00167B28">
        <w:rPr>
          <w:b/>
          <w:bCs/>
          <w:sz w:val="22"/>
          <w:szCs w:val="22"/>
        </w:rPr>
        <w:t>56 % del stock en riesgo de destrucción</w:t>
      </w:r>
      <w:r w:rsidRPr="00167B28">
        <w:rPr>
          <w:sz w:val="22"/>
          <w:szCs w:val="22"/>
        </w:rPr>
        <w:t>, gracias a mejores prácticas de gestión ambiental y control de inventarios.</w:t>
      </w:r>
    </w:p>
    <w:p w14:paraId="17DC0015" w14:textId="77777777" w:rsidR="0054535F" w:rsidRPr="0054535F" w:rsidRDefault="0054535F" w:rsidP="0054535F">
      <w:pPr>
        <w:jc w:val="both"/>
        <w:rPr>
          <w:sz w:val="22"/>
          <w:szCs w:val="22"/>
        </w:rPr>
      </w:pPr>
      <w:r w:rsidRPr="0054535F">
        <w:rPr>
          <w:sz w:val="22"/>
          <w:szCs w:val="22"/>
        </w:rPr>
        <w:t xml:space="preserve">Finalmente, el compromiso con Murcia se hace visible tanto en la generación de empleo como en el arraigo territorial. En los dos últimos años, </w:t>
      </w:r>
      <w:r w:rsidRPr="0054535F">
        <w:rPr>
          <w:b/>
          <w:bCs/>
          <w:sz w:val="22"/>
          <w:szCs w:val="22"/>
        </w:rPr>
        <w:t>la plantilla ha crecido un 7,6 %, hasta superar las 400 personas.</w:t>
      </w:r>
      <w:r w:rsidRPr="0054535F">
        <w:rPr>
          <w:sz w:val="22"/>
          <w:szCs w:val="22"/>
        </w:rPr>
        <w:t xml:space="preserve"> Además, la compañía trabaja con una red de 600 agricultores murcianos y procesa alrededor de 14 toneladas de fruta al año en su única fábrica, ubicada en la Región de Murcia.</w:t>
      </w:r>
    </w:p>
    <w:p w14:paraId="68756CE0" w14:textId="76F0188C" w:rsidR="00D60FF2" w:rsidRDefault="00170B32" w:rsidP="00D60FF2">
      <w:pPr>
        <w:jc w:val="both"/>
        <w:rPr>
          <w:sz w:val="22"/>
          <w:szCs w:val="22"/>
        </w:rPr>
      </w:pPr>
      <w:r>
        <w:rPr>
          <w:b/>
          <w:bCs/>
          <w:sz w:val="22"/>
          <w:szCs w:val="22"/>
        </w:rPr>
        <w:t xml:space="preserve">Pasión por la innovación </w:t>
      </w:r>
    </w:p>
    <w:p w14:paraId="172D5983" w14:textId="0C18B3BC" w:rsidR="005E1434" w:rsidRPr="005E1434" w:rsidRDefault="005E1434" w:rsidP="005E1434">
      <w:pPr>
        <w:pStyle w:val="NormalWeb"/>
        <w:jc w:val="both"/>
        <w:rPr>
          <w:rFonts w:asciiTheme="minorHAnsi" w:hAnsiTheme="minorHAnsi" w:cstheme="minorBidi"/>
          <w:sz w:val="22"/>
          <w:szCs w:val="22"/>
        </w:rPr>
      </w:pPr>
      <w:r w:rsidRPr="005E1434">
        <w:rPr>
          <w:rFonts w:asciiTheme="minorHAnsi" w:hAnsiTheme="minorHAnsi" w:cstheme="minorBidi"/>
          <w:sz w:val="22"/>
          <w:szCs w:val="22"/>
        </w:rPr>
        <w:t xml:space="preserve">La compañía mantuvo su estrategia de innovación orientada a crecimiento rentable. La gama Disfruta volvió a desempeñar un papel decisivo, especialmente tras el lanzamiento en enero de </w:t>
      </w:r>
      <w:r w:rsidRPr="0069418A">
        <w:rPr>
          <w:rFonts w:asciiTheme="minorHAnsi" w:hAnsiTheme="minorHAnsi" w:cstheme="minorBidi"/>
          <w:b/>
          <w:bCs/>
          <w:sz w:val="22"/>
          <w:szCs w:val="22"/>
        </w:rPr>
        <w:t>Disfruta Naranjas Exprimidas</w:t>
      </w:r>
      <w:r w:rsidRPr="005E1434">
        <w:rPr>
          <w:rFonts w:asciiTheme="minorHAnsi" w:hAnsiTheme="minorHAnsi" w:cstheme="minorBidi"/>
          <w:sz w:val="22"/>
          <w:szCs w:val="22"/>
        </w:rPr>
        <w:t xml:space="preserve">, un sabor que </w:t>
      </w:r>
      <w:r w:rsidRPr="0069418A">
        <w:rPr>
          <w:rFonts w:asciiTheme="minorHAnsi" w:hAnsiTheme="minorHAnsi" w:cstheme="minorBidi"/>
          <w:b/>
          <w:bCs/>
          <w:sz w:val="22"/>
          <w:szCs w:val="22"/>
        </w:rPr>
        <w:t>ha revertido su tendencia y</w:t>
      </w:r>
      <w:r w:rsidRPr="005E1434">
        <w:rPr>
          <w:rFonts w:asciiTheme="minorHAnsi" w:hAnsiTheme="minorHAnsi" w:cstheme="minorBidi"/>
          <w:sz w:val="22"/>
          <w:szCs w:val="22"/>
        </w:rPr>
        <w:t xml:space="preserve"> </w:t>
      </w:r>
      <w:r w:rsidRPr="0069418A">
        <w:rPr>
          <w:rFonts w:asciiTheme="minorHAnsi" w:hAnsiTheme="minorHAnsi" w:cstheme="minorBidi"/>
          <w:b/>
          <w:bCs/>
          <w:sz w:val="22"/>
          <w:szCs w:val="22"/>
        </w:rPr>
        <w:t>mejorado más de 50 puntos porcentuales</w:t>
      </w:r>
      <w:r w:rsidRPr="005E1434">
        <w:rPr>
          <w:rFonts w:asciiTheme="minorHAnsi" w:hAnsiTheme="minorHAnsi" w:cstheme="minorBidi"/>
          <w:sz w:val="22"/>
          <w:szCs w:val="22"/>
        </w:rPr>
        <w:t xml:space="preserve"> desde su introducción, convirtiéndose en uno de los principales impulsores del ejercicio.</w:t>
      </w:r>
    </w:p>
    <w:p w14:paraId="57F8519F" w14:textId="5DFF6FDF" w:rsidR="005E1434" w:rsidRPr="005E1434" w:rsidRDefault="005E1434" w:rsidP="005E1434">
      <w:pPr>
        <w:pStyle w:val="NormalWeb"/>
        <w:jc w:val="both"/>
        <w:rPr>
          <w:rFonts w:asciiTheme="minorHAnsi" w:hAnsiTheme="minorHAnsi" w:cstheme="minorBidi"/>
          <w:sz w:val="22"/>
          <w:szCs w:val="22"/>
        </w:rPr>
      </w:pPr>
      <w:r w:rsidRPr="005E1434">
        <w:rPr>
          <w:rFonts w:asciiTheme="minorHAnsi" w:hAnsiTheme="minorHAnsi" w:cstheme="minorBidi"/>
          <w:sz w:val="22"/>
          <w:szCs w:val="22"/>
        </w:rPr>
        <w:t xml:space="preserve">En España, la compañía </w:t>
      </w:r>
      <w:r w:rsidRPr="0069418A">
        <w:rPr>
          <w:rFonts w:asciiTheme="minorHAnsi" w:hAnsiTheme="minorHAnsi" w:cstheme="minorBidi"/>
          <w:b/>
          <w:bCs/>
          <w:sz w:val="22"/>
          <w:szCs w:val="22"/>
        </w:rPr>
        <w:t>amplió la</w:t>
      </w:r>
      <w:r w:rsidRPr="005E1434">
        <w:rPr>
          <w:rFonts w:asciiTheme="minorHAnsi" w:hAnsiTheme="minorHAnsi" w:cstheme="minorBidi"/>
          <w:sz w:val="22"/>
          <w:szCs w:val="22"/>
        </w:rPr>
        <w:t xml:space="preserve"> </w:t>
      </w:r>
      <w:r w:rsidRPr="0069418A">
        <w:rPr>
          <w:rFonts w:asciiTheme="minorHAnsi" w:hAnsiTheme="minorHAnsi" w:cstheme="minorBidi"/>
          <w:b/>
          <w:bCs/>
          <w:sz w:val="22"/>
          <w:szCs w:val="22"/>
        </w:rPr>
        <w:t>oferta con Juver Salud</w:t>
      </w:r>
      <w:r w:rsidRPr="005E1434">
        <w:rPr>
          <w:rFonts w:asciiTheme="minorHAnsi" w:hAnsiTheme="minorHAnsi" w:cstheme="minorBidi"/>
          <w:sz w:val="22"/>
          <w:szCs w:val="22"/>
        </w:rPr>
        <w:t xml:space="preserve">, dirigida al bienestar y al consumidor sénior, y con </w:t>
      </w:r>
      <w:r w:rsidRPr="0069418A">
        <w:rPr>
          <w:rFonts w:asciiTheme="minorHAnsi" w:hAnsiTheme="minorHAnsi" w:cstheme="minorBidi"/>
          <w:b/>
          <w:bCs/>
          <w:sz w:val="22"/>
          <w:szCs w:val="22"/>
        </w:rPr>
        <w:t>Juver Coctelería</w:t>
      </w:r>
      <w:r w:rsidRPr="005E1434">
        <w:rPr>
          <w:rFonts w:asciiTheme="minorHAnsi" w:hAnsiTheme="minorHAnsi" w:cstheme="minorBidi"/>
          <w:sz w:val="22"/>
          <w:szCs w:val="22"/>
        </w:rPr>
        <w:t xml:space="preserve">, concebida para </w:t>
      </w:r>
      <w:r w:rsidRPr="0069418A">
        <w:rPr>
          <w:rFonts w:asciiTheme="minorHAnsi" w:hAnsiTheme="minorHAnsi" w:cstheme="minorBidi"/>
          <w:b/>
          <w:bCs/>
          <w:sz w:val="22"/>
          <w:szCs w:val="22"/>
        </w:rPr>
        <w:t xml:space="preserve">nuevos momentos de consumo. </w:t>
      </w:r>
      <w:r w:rsidRPr="005E1434">
        <w:rPr>
          <w:rFonts w:asciiTheme="minorHAnsi" w:hAnsiTheme="minorHAnsi" w:cstheme="minorBidi"/>
          <w:sz w:val="22"/>
          <w:szCs w:val="22"/>
        </w:rPr>
        <w:t xml:space="preserve">Asimismo, se incorporó una nueva línea de </w:t>
      </w:r>
      <w:r w:rsidRPr="0069418A">
        <w:rPr>
          <w:rFonts w:asciiTheme="minorHAnsi" w:hAnsiTheme="minorHAnsi" w:cstheme="minorBidi"/>
          <w:b/>
          <w:bCs/>
          <w:sz w:val="22"/>
          <w:szCs w:val="22"/>
        </w:rPr>
        <w:t>compotas de fruta.</w:t>
      </w:r>
    </w:p>
    <w:p w14:paraId="0C242062" w14:textId="6C602131" w:rsidR="001A567A" w:rsidRPr="00D16DA2" w:rsidRDefault="005E1434" w:rsidP="005E1434">
      <w:pPr>
        <w:pStyle w:val="NormalWeb"/>
        <w:jc w:val="both"/>
        <w:rPr>
          <w:rFonts w:ascii="Calibri" w:hAnsi="Calibri" w:cs="Calibri"/>
          <w:b/>
          <w:bCs/>
          <w:color w:val="C00000"/>
          <w:sz w:val="22"/>
          <w:szCs w:val="22"/>
        </w:rPr>
      </w:pPr>
      <w:r w:rsidRPr="005E1434">
        <w:rPr>
          <w:rFonts w:asciiTheme="minorHAnsi" w:hAnsiTheme="minorHAnsi" w:cstheme="minorBidi"/>
          <w:sz w:val="22"/>
          <w:szCs w:val="22"/>
        </w:rPr>
        <w:t xml:space="preserve">Para mercados internacionales, se desarrollaron propuestas específicas como la nueva </w:t>
      </w:r>
      <w:r w:rsidRPr="00170B32">
        <w:rPr>
          <w:rFonts w:asciiTheme="minorHAnsi" w:hAnsiTheme="minorHAnsi" w:cstheme="minorBidi"/>
          <w:b/>
          <w:bCs/>
          <w:sz w:val="22"/>
          <w:szCs w:val="22"/>
        </w:rPr>
        <w:t>gama de Ice Tea lanzada en Portugal y bebidas vegetales</w:t>
      </w:r>
      <w:r w:rsidRPr="005E1434">
        <w:rPr>
          <w:rFonts w:asciiTheme="minorHAnsi" w:hAnsiTheme="minorHAnsi" w:cstheme="minorBidi"/>
          <w:sz w:val="22"/>
          <w:szCs w:val="22"/>
        </w:rPr>
        <w:t xml:space="preserve"> adaptadas a diferentes geografías, con formulaciones más naturales y menos aditivos.</w:t>
      </w:r>
    </w:p>
    <w:p w14:paraId="186A0B2C" w14:textId="77777777" w:rsidR="001A567A" w:rsidRDefault="001A567A" w:rsidP="001A567A">
      <w:pPr>
        <w:pStyle w:val="NormalWeb"/>
        <w:rPr>
          <w:rFonts w:ascii="Calibri" w:hAnsi="Calibri" w:cs="Calibri"/>
          <w:b/>
          <w:bCs/>
          <w:color w:val="C00000"/>
          <w:sz w:val="22"/>
          <w:szCs w:val="22"/>
        </w:rPr>
      </w:pPr>
    </w:p>
    <w:p w14:paraId="4093F269" w14:textId="77777777" w:rsidR="006C717B" w:rsidRDefault="006C717B" w:rsidP="001A567A">
      <w:pPr>
        <w:pStyle w:val="NormalWeb"/>
        <w:rPr>
          <w:rFonts w:ascii="Calibri" w:hAnsi="Calibri" w:cs="Calibri"/>
          <w:b/>
          <w:bCs/>
          <w:color w:val="C00000"/>
          <w:sz w:val="22"/>
          <w:szCs w:val="22"/>
        </w:rPr>
      </w:pPr>
    </w:p>
    <w:p w14:paraId="2D9722F4" w14:textId="77777777" w:rsidR="006C717B" w:rsidRDefault="006C717B" w:rsidP="001A567A">
      <w:pPr>
        <w:pStyle w:val="NormalWeb"/>
        <w:rPr>
          <w:rFonts w:ascii="Calibri" w:hAnsi="Calibri" w:cs="Calibri"/>
          <w:b/>
          <w:bCs/>
          <w:color w:val="C00000"/>
          <w:sz w:val="22"/>
          <w:szCs w:val="22"/>
        </w:rPr>
      </w:pPr>
    </w:p>
    <w:p w14:paraId="0F059AB2" w14:textId="77777777" w:rsidR="006C717B" w:rsidRPr="00D16DA2" w:rsidRDefault="006C717B" w:rsidP="001A567A">
      <w:pPr>
        <w:pStyle w:val="NormalWeb"/>
        <w:rPr>
          <w:rFonts w:ascii="Calibri" w:hAnsi="Calibri" w:cs="Calibri"/>
          <w:b/>
          <w:bCs/>
          <w:color w:val="C00000"/>
          <w:sz w:val="22"/>
          <w:szCs w:val="22"/>
        </w:rPr>
      </w:pPr>
    </w:p>
    <w:p w14:paraId="4EACF106" w14:textId="60FB0134" w:rsidR="001A567A" w:rsidRPr="00F21D6D" w:rsidRDefault="001A567A" w:rsidP="001A567A">
      <w:pPr>
        <w:pStyle w:val="NormalWeb"/>
        <w:rPr>
          <w:rFonts w:ascii="Calibri" w:hAnsi="Calibri" w:cs="Calibri"/>
          <w:b/>
          <w:bCs/>
          <w:color w:val="C00000"/>
          <w:sz w:val="22"/>
          <w:szCs w:val="22"/>
        </w:rPr>
      </w:pPr>
      <w:r w:rsidRPr="00F21D6D">
        <w:rPr>
          <w:rFonts w:ascii="Calibri" w:hAnsi="Calibri" w:cs="Calibri"/>
          <w:b/>
          <w:bCs/>
          <w:color w:val="C00000"/>
          <w:sz w:val="22"/>
          <w:szCs w:val="22"/>
        </w:rPr>
        <w:lastRenderedPageBreak/>
        <w:t>Sobre Juver:</w:t>
      </w:r>
    </w:p>
    <w:p w14:paraId="5BA75ABB" w14:textId="77777777" w:rsidR="001A567A" w:rsidRPr="00F21D6D" w:rsidRDefault="001A567A" w:rsidP="001A567A">
      <w:pPr>
        <w:pStyle w:val="NormalWeb"/>
        <w:jc w:val="both"/>
        <w:rPr>
          <w:rFonts w:ascii="Calibri" w:hAnsi="Calibri" w:cs="Calibri"/>
          <w:sz w:val="22"/>
          <w:szCs w:val="22"/>
        </w:rPr>
      </w:pPr>
      <w:r w:rsidRPr="00F21D6D">
        <w:rPr>
          <w:rFonts w:ascii="Calibri" w:hAnsi="Calibri" w:cs="Calibri"/>
          <w:sz w:val="22"/>
          <w:szCs w:val="22"/>
        </w:rPr>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p>
    <w:p w14:paraId="3E5092D2" w14:textId="77777777" w:rsidR="001A567A" w:rsidRPr="00F21D6D" w:rsidRDefault="001A567A" w:rsidP="001A567A">
      <w:pPr>
        <w:pStyle w:val="NormalWeb"/>
        <w:jc w:val="both"/>
        <w:rPr>
          <w:rFonts w:ascii="Calibri" w:hAnsi="Calibri" w:cs="Calibri"/>
          <w:sz w:val="22"/>
          <w:szCs w:val="22"/>
        </w:rPr>
      </w:pPr>
      <w:r w:rsidRPr="00F21D6D">
        <w:rPr>
          <w:rFonts w:ascii="Calibri" w:hAnsi="Calibri" w:cs="Calibri"/>
          <w:sz w:val="22"/>
          <w:szCs w:val="22"/>
        </w:rPr>
        <w:t>Esta asociación estratégica subraya el compromiso de Juver con la calidad, la innovación y la sostenibilidad en la producción de zumos, al tiempo que refuerza su posición como actor destacado en el mercado español.</w:t>
      </w:r>
    </w:p>
    <w:p w14:paraId="341D68CB" w14:textId="77777777" w:rsidR="001A567A" w:rsidRPr="001C7E3F" w:rsidRDefault="001A567A" w:rsidP="001A567A">
      <w:pPr>
        <w:rPr>
          <w:rFonts w:ascii="Calibri" w:hAnsi="Calibri" w:cs="Calibri"/>
          <w:sz w:val="22"/>
          <w:szCs w:val="22"/>
        </w:rPr>
      </w:pPr>
      <w:r w:rsidRPr="001C7E3F">
        <w:rPr>
          <w:rFonts w:ascii="Calibri" w:hAnsi="Calibri" w:cs="Calibri"/>
          <w:sz w:val="22"/>
          <w:szCs w:val="22"/>
        </w:rPr>
        <w:t>Para más información:   </w:t>
      </w:r>
    </w:p>
    <w:p w14:paraId="6749F9CD" w14:textId="77777777" w:rsidR="001A567A" w:rsidRPr="00171D7E" w:rsidRDefault="001A567A" w:rsidP="001A567A">
      <w:pPr>
        <w:rPr>
          <w:rFonts w:ascii="Calibri" w:hAnsi="Calibri" w:cs="Calibri"/>
          <w:sz w:val="22"/>
          <w:szCs w:val="22"/>
        </w:rPr>
      </w:pPr>
      <w:r w:rsidRPr="00171D7E">
        <w:rPr>
          <w:rFonts w:ascii="Calibri" w:hAnsi="Calibri" w:cs="Calibri"/>
          <w:b/>
          <w:bCs/>
          <w:sz w:val="22"/>
          <w:szCs w:val="22"/>
        </w:rPr>
        <w:t>ATREVIA</w:t>
      </w:r>
      <w:r w:rsidRPr="00171D7E">
        <w:rPr>
          <w:rFonts w:ascii="Calibri" w:hAnsi="Calibri" w:cs="Calibri"/>
          <w:sz w:val="22"/>
          <w:szCs w:val="22"/>
        </w:rPr>
        <w:t>   </w:t>
      </w:r>
    </w:p>
    <w:p w14:paraId="1C01274F" w14:textId="77777777" w:rsidR="001A567A" w:rsidRPr="00171D7E" w:rsidRDefault="001A567A" w:rsidP="001A567A">
      <w:pPr>
        <w:rPr>
          <w:rFonts w:ascii="Calibri" w:hAnsi="Calibri" w:cs="Calibri"/>
          <w:sz w:val="22"/>
          <w:szCs w:val="22"/>
        </w:rPr>
      </w:pPr>
      <w:r w:rsidRPr="00171D7E">
        <w:rPr>
          <w:rFonts w:ascii="Calibri" w:hAnsi="Calibri" w:cs="Calibri"/>
          <w:b/>
          <w:bCs/>
          <w:sz w:val="22"/>
          <w:szCs w:val="22"/>
        </w:rPr>
        <w:t>Lidia Bravo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b/>
          <w:bCs/>
          <w:sz w:val="22"/>
          <w:szCs w:val="22"/>
        </w:rPr>
        <w:t>Natalia González</w:t>
      </w:r>
      <w:r w:rsidRPr="00171D7E">
        <w:rPr>
          <w:rFonts w:ascii="Calibri" w:hAnsi="Calibri" w:cs="Calibri"/>
          <w:sz w:val="22"/>
          <w:szCs w:val="22"/>
        </w:rPr>
        <w:t> </w:t>
      </w:r>
    </w:p>
    <w:p w14:paraId="734DC282" w14:textId="77777777" w:rsidR="001A567A" w:rsidRPr="00171D7E" w:rsidRDefault="001A567A" w:rsidP="001A567A">
      <w:pPr>
        <w:rPr>
          <w:rFonts w:ascii="Calibri" w:hAnsi="Calibri" w:cs="Calibri"/>
          <w:sz w:val="22"/>
          <w:szCs w:val="22"/>
        </w:rPr>
      </w:pPr>
      <w:hyperlink r:id="rId10" w:tgtFrame="_blank" w:history="1">
        <w:r w:rsidRPr="00171D7E">
          <w:rPr>
            <w:rStyle w:val="Hipervnculo"/>
            <w:rFonts w:ascii="Calibri" w:hAnsi="Calibri" w:cs="Calibri"/>
            <w:sz w:val="22"/>
            <w:szCs w:val="22"/>
          </w:rPr>
          <w:t>lbravo@atrevia.com</w:t>
        </w:r>
      </w:hyperlink>
      <w:r w:rsidRPr="00171D7E">
        <w:rPr>
          <w:rFonts w:ascii="Calibri" w:hAnsi="Calibri" w:cs="Calibri"/>
          <w:sz w:val="22"/>
          <w:szCs w:val="22"/>
        </w:rPr>
        <w:t>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hyperlink r:id="rId11" w:tgtFrame="_blank" w:history="1">
        <w:r w:rsidRPr="00171D7E">
          <w:rPr>
            <w:rStyle w:val="Hipervnculo"/>
            <w:rFonts w:ascii="Calibri" w:hAnsi="Calibri" w:cs="Calibri"/>
            <w:sz w:val="22"/>
            <w:szCs w:val="22"/>
          </w:rPr>
          <w:t>ngonzalez@atrevia.com</w:t>
        </w:r>
      </w:hyperlink>
      <w:r w:rsidRPr="00171D7E">
        <w:rPr>
          <w:rFonts w:ascii="Calibri" w:hAnsi="Calibri" w:cs="Calibri"/>
          <w:sz w:val="22"/>
          <w:szCs w:val="22"/>
        </w:rPr>
        <w:t>   </w:t>
      </w:r>
    </w:p>
    <w:p w14:paraId="092BFA01" w14:textId="77777777" w:rsidR="001A567A" w:rsidRPr="001C7E3F" w:rsidRDefault="001A567A" w:rsidP="001A567A">
      <w:pPr>
        <w:rPr>
          <w:rFonts w:ascii="Calibri" w:hAnsi="Calibri" w:cs="Calibri"/>
          <w:sz w:val="22"/>
          <w:szCs w:val="22"/>
        </w:rPr>
      </w:pPr>
      <w:r w:rsidRPr="001C7E3F">
        <w:rPr>
          <w:rFonts w:ascii="Calibri" w:hAnsi="Calibri" w:cs="Calibri"/>
          <w:sz w:val="22"/>
          <w:szCs w:val="22"/>
          <w:lang w:val="it-IT"/>
        </w:rPr>
        <w:t>673 33 98 46</w:t>
      </w:r>
      <w:r w:rsidRPr="001C7E3F">
        <w:rPr>
          <w:rFonts w:ascii="Calibri" w:hAnsi="Calibri" w:cs="Calibri"/>
          <w:sz w:val="22"/>
          <w:szCs w:val="22"/>
        </w:rPr>
        <w:t>  </w:t>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t>673 33 98 40   </w:t>
      </w:r>
    </w:p>
    <w:p w14:paraId="554D8F4A" w14:textId="440F0981" w:rsidR="00413037" w:rsidRPr="00592A09" w:rsidRDefault="00413037" w:rsidP="00167B28">
      <w:pPr>
        <w:jc w:val="both"/>
        <w:rPr>
          <w:sz w:val="22"/>
          <w:szCs w:val="22"/>
        </w:rPr>
      </w:pPr>
    </w:p>
    <w:sectPr w:rsidR="00413037" w:rsidRPr="00592A09">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DA87" w14:textId="77777777" w:rsidR="00753AA3" w:rsidRDefault="00753AA3" w:rsidP="00592A09">
      <w:pPr>
        <w:spacing w:after="0" w:line="240" w:lineRule="auto"/>
      </w:pPr>
      <w:r>
        <w:separator/>
      </w:r>
    </w:p>
  </w:endnote>
  <w:endnote w:type="continuationSeparator" w:id="0">
    <w:p w14:paraId="2E8EE3D6" w14:textId="77777777" w:rsidR="00753AA3" w:rsidRDefault="00753AA3" w:rsidP="0059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7176" w14:textId="77777777" w:rsidR="00753AA3" w:rsidRDefault="00753AA3" w:rsidP="00592A09">
      <w:pPr>
        <w:spacing w:after="0" w:line="240" w:lineRule="auto"/>
      </w:pPr>
      <w:r>
        <w:separator/>
      </w:r>
    </w:p>
  </w:footnote>
  <w:footnote w:type="continuationSeparator" w:id="0">
    <w:p w14:paraId="6289DD6F" w14:textId="77777777" w:rsidR="00753AA3" w:rsidRDefault="00753AA3" w:rsidP="00592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74BC" w14:textId="55B82509" w:rsidR="00592A09" w:rsidRDefault="00592A09">
    <w:pPr>
      <w:pStyle w:val="Encabezado"/>
    </w:pPr>
    <w:r>
      <w:rPr>
        <w:noProof/>
      </w:rPr>
      <w:drawing>
        <wp:anchor distT="0" distB="0" distL="114300" distR="114300" simplePos="0" relativeHeight="251658240" behindDoc="1" locked="0" layoutInCell="1" allowOverlap="1" wp14:anchorId="1471A1A4" wp14:editId="2F4DFD03">
          <wp:simplePos x="0" y="0"/>
          <wp:positionH relativeFrom="margin">
            <wp:align>center</wp:align>
          </wp:positionH>
          <wp:positionV relativeFrom="paragraph">
            <wp:posOffset>-262255</wp:posOffset>
          </wp:positionV>
          <wp:extent cx="752475" cy="447675"/>
          <wp:effectExtent l="0" t="0" r="9525" b="9525"/>
          <wp:wrapThrough wrapText="bothSides">
            <wp:wrapPolygon edited="0">
              <wp:start x="4922" y="0"/>
              <wp:lineTo x="0" y="3677"/>
              <wp:lineTo x="0" y="16545"/>
              <wp:lineTo x="3828" y="21140"/>
              <wp:lineTo x="5468" y="21140"/>
              <wp:lineTo x="15858" y="21140"/>
              <wp:lineTo x="17499" y="21140"/>
              <wp:lineTo x="21327" y="16545"/>
              <wp:lineTo x="21327" y="2757"/>
              <wp:lineTo x="15858" y="0"/>
              <wp:lineTo x="4922" y="0"/>
            </wp:wrapPolygon>
          </wp:wrapThrough>
          <wp:docPr id="5827681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68145" name="Imagen 582768145"/>
                  <pic:cNvPicPr/>
                </pic:nvPicPr>
                <pic:blipFill>
                  <a:blip r:embed="rId1">
                    <a:extLst>
                      <a:ext uri="{28A0092B-C50C-407E-A947-70E740481C1C}">
                        <a14:useLocalDpi xmlns:a14="http://schemas.microsoft.com/office/drawing/2010/main" val="0"/>
                      </a:ext>
                    </a:extLst>
                  </a:blip>
                  <a:stretch>
                    <a:fillRect/>
                  </a:stretch>
                </pic:blipFill>
                <pic:spPr>
                  <a:xfrm>
                    <a:off x="0" y="0"/>
                    <a:ext cx="752475" cy="447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7D1"/>
    <w:multiLevelType w:val="hybridMultilevel"/>
    <w:tmpl w:val="917A7F64"/>
    <w:lvl w:ilvl="0" w:tplc="D9E8483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EF866E8"/>
    <w:multiLevelType w:val="hybridMultilevel"/>
    <w:tmpl w:val="489CE07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77432A73"/>
    <w:multiLevelType w:val="hybridMultilevel"/>
    <w:tmpl w:val="273A5F04"/>
    <w:lvl w:ilvl="0" w:tplc="D9E8483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C9374E9"/>
    <w:multiLevelType w:val="hybridMultilevel"/>
    <w:tmpl w:val="16DAF502"/>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7649186">
    <w:abstractNumId w:val="1"/>
  </w:num>
  <w:num w:numId="2" w16cid:durableId="1091700031">
    <w:abstractNumId w:val="2"/>
  </w:num>
  <w:num w:numId="3" w16cid:durableId="1637686226">
    <w:abstractNumId w:val="0"/>
  </w:num>
  <w:num w:numId="4" w16cid:durableId="1499734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09"/>
    <w:rsid w:val="000224D6"/>
    <w:rsid w:val="00047814"/>
    <w:rsid w:val="000B6593"/>
    <w:rsid w:val="00167B28"/>
    <w:rsid w:val="00167B47"/>
    <w:rsid w:val="00170B32"/>
    <w:rsid w:val="00170D53"/>
    <w:rsid w:val="00196BF3"/>
    <w:rsid w:val="001A4EED"/>
    <w:rsid w:val="001A567A"/>
    <w:rsid w:val="001E2305"/>
    <w:rsid w:val="001E4670"/>
    <w:rsid w:val="002316CB"/>
    <w:rsid w:val="00260DBF"/>
    <w:rsid w:val="002828D2"/>
    <w:rsid w:val="002A0040"/>
    <w:rsid w:val="002C7C1E"/>
    <w:rsid w:val="003040BC"/>
    <w:rsid w:val="00305F01"/>
    <w:rsid w:val="003113A5"/>
    <w:rsid w:val="00321E98"/>
    <w:rsid w:val="003B2767"/>
    <w:rsid w:val="003D0F6D"/>
    <w:rsid w:val="003E6211"/>
    <w:rsid w:val="00413037"/>
    <w:rsid w:val="004313BE"/>
    <w:rsid w:val="00441E32"/>
    <w:rsid w:val="00442A13"/>
    <w:rsid w:val="004437C3"/>
    <w:rsid w:val="00450343"/>
    <w:rsid w:val="00473F7A"/>
    <w:rsid w:val="004B6972"/>
    <w:rsid w:val="004B7A9C"/>
    <w:rsid w:val="004C79E7"/>
    <w:rsid w:val="004D28A5"/>
    <w:rsid w:val="004E45B2"/>
    <w:rsid w:val="00504D36"/>
    <w:rsid w:val="005375B4"/>
    <w:rsid w:val="0054535F"/>
    <w:rsid w:val="00582621"/>
    <w:rsid w:val="00591557"/>
    <w:rsid w:val="00592A09"/>
    <w:rsid w:val="005C3E4F"/>
    <w:rsid w:val="005E1434"/>
    <w:rsid w:val="006455F7"/>
    <w:rsid w:val="00646FCC"/>
    <w:rsid w:val="0067206E"/>
    <w:rsid w:val="00683E6E"/>
    <w:rsid w:val="00692D13"/>
    <w:rsid w:val="0069418A"/>
    <w:rsid w:val="00696042"/>
    <w:rsid w:val="006A23AF"/>
    <w:rsid w:val="006C3F18"/>
    <w:rsid w:val="006C51B2"/>
    <w:rsid w:val="006C717B"/>
    <w:rsid w:val="006D15B4"/>
    <w:rsid w:val="006D2577"/>
    <w:rsid w:val="006F6F13"/>
    <w:rsid w:val="00700CE0"/>
    <w:rsid w:val="00722BD1"/>
    <w:rsid w:val="00746932"/>
    <w:rsid w:val="00753AA3"/>
    <w:rsid w:val="007755D1"/>
    <w:rsid w:val="00784322"/>
    <w:rsid w:val="007A41EA"/>
    <w:rsid w:val="007C5B7C"/>
    <w:rsid w:val="007E1630"/>
    <w:rsid w:val="00806B3E"/>
    <w:rsid w:val="0082052D"/>
    <w:rsid w:val="0088762E"/>
    <w:rsid w:val="00900BA3"/>
    <w:rsid w:val="009A3504"/>
    <w:rsid w:val="009B3DB4"/>
    <w:rsid w:val="009D7FD9"/>
    <w:rsid w:val="00A10864"/>
    <w:rsid w:val="00A10BC9"/>
    <w:rsid w:val="00A541D7"/>
    <w:rsid w:val="00A60ED6"/>
    <w:rsid w:val="00A939FA"/>
    <w:rsid w:val="00A96BC1"/>
    <w:rsid w:val="00AA6818"/>
    <w:rsid w:val="00B14377"/>
    <w:rsid w:val="00B43854"/>
    <w:rsid w:val="00BC40AF"/>
    <w:rsid w:val="00BD2EB7"/>
    <w:rsid w:val="00C25593"/>
    <w:rsid w:val="00C4426C"/>
    <w:rsid w:val="00C62FA9"/>
    <w:rsid w:val="00C63429"/>
    <w:rsid w:val="00C6662C"/>
    <w:rsid w:val="00C8281A"/>
    <w:rsid w:val="00C90D12"/>
    <w:rsid w:val="00C945C6"/>
    <w:rsid w:val="00C9710C"/>
    <w:rsid w:val="00CC5FDB"/>
    <w:rsid w:val="00CD03E8"/>
    <w:rsid w:val="00CD2881"/>
    <w:rsid w:val="00CF05D7"/>
    <w:rsid w:val="00CF7C80"/>
    <w:rsid w:val="00D01712"/>
    <w:rsid w:val="00D11F51"/>
    <w:rsid w:val="00D16DA2"/>
    <w:rsid w:val="00D41899"/>
    <w:rsid w:val="00D60FF2"/>
    <w:rsid w:val="00D62863"/>
    <w:rsid w:val="00D84BBF"/>
    <w:rsid w:val="00DB648B"/>
    <w:rsid w:val="00E05307"/>
    <w:rsid w:val="00E35FDC"/>
    <w:rsid w:val="00E70CC6"/>
    <w:rsid w:val="00E97294"/>
    <w:rsid w:val="00EA1726"/>
    <w:rsid w:val="00EB45C9"/>
    <w:rsid w:val="00ED503D"/>
    <w:rsid w:val="00F50F23"/>
    <w:rsid w:val="00F6498F"/>
    <w:rsid w:val="00F82CBD"/>
    <w:rsid w:val="00FF6196"/>
    <w:rsid w:val="00FF733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9F9D"/>
  <w15:chartTrackingRefBased/>
  <w15:docId w15:val="{2849A375-163A-40F2-B6FA-DEFF8E79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9"/>
  </w:style>
  <w:style w:type="paragraph" w:styleId="Ttulo1">
    <w:name w:val="heading 1"/>
    <w:basedOn w:val="Normal"/>
    <w:next w:val="Normal"/>
    <w:link w:val="Ttulo1Car"/>
    <w:uiPriority w:val="9"/>
    <w:qFormat/>
    <w:rsid w:val="00592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2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2A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2A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2A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2A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2A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2A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2A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2A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2A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2A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2A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2A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2A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2A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2A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2A09"/>
    <w:rPr>
      <w:rFonts w:eastAsiaTheme="majorEastAsia" w:cstheme="majorBidi"/>
      <w:color w:val="272727" w:themeColor="text1" w:themeTint="D8"/>
    </w:rPr>
  </w:style>
  <w:style w:type="paragraph" w:styleId="Ttulo">
    <w:name w:val="Title"/>
    <w:basedOn w:val="Normal"/>
    <w:next w:val="Normal"/>
    <w:link w:val="TtuloCar"/>
    <w:uiPriority w:val="10"/>
    <w:qFormat/>
    <w:rsid w:val="00592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2A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2A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2A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2A09"/>
    <w:pPr>
      <w:spacing w:before="160"/>
      <w:jc w:val="center"/>
    </w:pPr>
    <w:rPr>
      <w:i/>
      <w:iCs/>
      <w:color w:val="404040" w:themeColor="text1" w:themeTint="BF"/>
    </w:rPr>
  </w:style>
  <w:style w:type="character" w:customStyle="1" w:styleId="CitaCar">
    <w:name w:val="Cita Car"/>
    <w:basedOn w:val="Fuentedeprrafopredeter"/>
    <w:link w:val="Cita"/>
    <w:uiPriority w:val="29"/>
    <w:rsid w:val="00592A09"/>
    <w:rPr>
      <w:i/>
      <w:iCs/>
      <w:color w:val="404040" w:themeColor="text1" w:themeTint="BF"/>
    </w:rPr>
  </w:style>
  <w:style w:type="paragraph" w:styleId="Prrafodelista">
    <w:name w:val="List Paragraph"/>
    <w:basedOn w:val="Normal"/>
    <w:uiPriority w:val="34"/>
    <w:qFormat/>
    <w:rsid w:val="00592A09"/>
    <w:pPr>
      <w:ind w:left="720"/>
      <w:contextualSpacing/>
    </w:pPr>
  </w:style>
  <w:style w:type="character" w:styleId="nfasisintenso">
    <w:name w:val="Intense Emphasis"/>
    <w:basedOn w:val="Fuentedeprrafopredeter"/>
    <w:uiPriority w:val="21"/>
    <w:qFormat/>
    <w:rsid w:val="00592A09"/>
    <w:rPr>
      <w:i/>
      <w:iCs/>
      <w:color w:val="0F4761" w:themeColor="accent1" w:themeShade="BF"/>
    </w:rPr>
  </w:style>
  <w:style w:type="paragraph" w:styleId="Citadestacada">
    <w:name w:val="Intense Quote"/>
    <w:basedOn w:val="Normal"/>
    <w:next w:val="Normal"/>
    <w:link w:val="CitadestacadaCar"/>
    <w:uiPriority w:val="30"/>
    <w:qFormat/>
    <w:rsid w:val="00592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2A09"/>
    <w:rPr>
      <w:i/>
      <w:iCs/>
      <w:color w:val="0F4761" w:themeColor="accent1" w:themeShade="BF"/>
    </w:rPr>
  </w:style>
  <w:style w:type="character" w:styleId="Referenciaintensa">
    <w:name w:val="Intense Reference"/>
    <w:basedOn w:val="Fuentedeprrafopredeter"/>
    <w:uiPriority w:val="32"/>
    <w:qFormat/>
    <w:rsid w:val="00592A09"/>
    <w:rPr>
      <w:b/>
      <w:bCs/>
      <w:smallCaps/>
      <w:color w:val="0F4761" w:themeColor="accent1" w:themeShade="BF"/>
      <w:spacing w:val="5"/>
    </w:rPr>
  </w:style>
  <w:style w:type="paragraph" w:styleId="NormalWeb">
    <w:name w:val="Normal (Web)"/>
    <w:basedOn w:val="Normal"/>
    <w:uiPriority w:val="99"/>
    <w:semiHidden/>
    <w:unhideWhenUsed/>
    <w:rsid w:val="00592A09"/>
    <w:rPr>
      <w:rFonts w:ascii="Times New Roman" w:hAnsi="Times New Roman" w:cs="Times New Roman"/>
    </w:rPr>
  </w:style>
  <w:style w:type="paragraph" w:styleId="Encabezado">
    <w:name w:val="header"/>
    <w:basedOn w:val="Normal"/>
    <w:link w:val="EncabezadoCar"/>
    <w:uiPriority w:val="99"/>
    <w:unhideWhenUsed/>
    <w:rsid w:val="00592A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2A09"/>
  </w:style>
  <w:style w:type="paragraph" w:styleId="Piedepgina">
    <w:name w:val="footer"/>
    <w:basedOn w:val="Normal"/>
    <w:link w:val="PiedepginaCar"/>
    <w:uiPriority w:val="99"/>
    <w:unhideWhenUsed/>
    <w:rsid w:val="00592A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2A09"/>
  </w:style>
  <w:style w:type="character" w:styleId="Hipervnculo">
    <w:name w:val="Hyperlink"/>
    <w:basedOn w:val="Fuentedeprrafopredeter"/>
    <w:uiPriority w:val="99"/>
    <w:unhideWhenUsed/>
    <w:rsid w:val="001A567A"/>
    <w:rPr>
      <w:color w:val="467886" w:themeColor="hyperlink"/>
      <w:u w:val="single"/>
    </w:rPr>
  </w:style>
  <w:style w:type="paragraph" w:styleId="Revisin">
    <w:name w:val="Revision"/>
    <w:hidden/>
    <w:uiPriority w:val="99"/>
    <w:semiHidden/>
    <w:rsid w:val="003040BC"/>
    <w:pPr>
      <w:spacing w:after="0" w:line="240" w:lineRule="auto"/>
    </w:pPr>
  </w:style>
  <w:style w:type="character" w:styleId="Refdecomentario">
    <w:name w:val="annotation reference"/>
    <w:basedOn w:val="Fuentedeprrafopredeter"/>
    <w:uiPriority w:val="99"/>
    <w:semiHidden/>
    <w:unhideWhenUsed/>
    <w:rsid w:val="00784322"/>
    <w:rPr>
      <w:sz w:val="16"/>
      <w:szCs w:val="16"/>
    </w:rPr>
  </w:style>
  <w:style w:type="paragraph" w:styleId="Textocomentario">
    <w:name w:val="annotation text"/>
    <w:basedOn w:val="Normal"/>
    <w:link w:val="TextocomentarioCar"/>
    <w:uiPriority w:val="99"/>
    <w:unhideWhenUsed/>
    <w:rsid w:val="00784322"/>
    <w:pPr>
      <w:spacing w:line="240" w:lineRule="auto"/>
    </w:pPr>
    <w:rPr>
      <w:sz w:val="20"/>
      <w:szCs w:val="20"/>
    </w:rPr>
  </w:style>
  <w:style w:type="character" w:customStyle="1" w:styleId="TextocomentarioCar">
    <w:name w:val="Texto comentario Car"/>
    <w:basedOn w:val="Fuentedeprrafopredeter"/>
    <w:link w:val="Textocomentario"/>
    <w:uiPriority w:val="99"/>
    <w:rsid w:val="00784322"/>
    <w:rPr>
      <w:sz w:val="20"/>
      <w:szCs w:val="20"/>
    </w:rPr>
  </w:style>
  <w:style w:type="paragraph" w:styleId="Asuntodelcomentario">
    <w:name w:val="annotation subject"/>
    <w:basedOn w:val="Textocomentario"/>
    <w:next w:val="Textocomentario"/>
    <w:link w:val="AsuntodelcomentarioCar"/>
    <w:uiPriority w:val="99"/>
    <w:semiHidden/>
    <w:unhideWhenUsed/>
    <w:rsid w:val="00784322"/>
    <w:rPr>
      <w:b/>
      <w:bCs/>
    </w:rPr>
  </w:style>
  <w:style w:type="character" w:customStyle="1" w:styleId="AsuntodelcomentarioCar">
    <w:name w:val="Asunto del comentario Car"/>
    <w:basedOn w:val="TextocomentarioCar"/>
    <w:link w:val="Asuntodelcomentario"/>
    <w:uiPriority w:val="99"/>
    <w:semiHidden/>
    <w:rsid w:val="007843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gonzalez@atrevia.com" TargetMode="External"/><Relationship Id="rId5" Type="http://schemas.openxmlformats.org/officeDocument/2006/relationships/styles" Target="styles.xml"/><Relationship Id="rId10" Type="http://schemas.openxmlformats.org/officeDocument/2006/relationships/hyperlink" Target="mailto:lbravo@atre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d6dcc7e5a4c1b7da4b1219f2bc6dfa41">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ce9a9a8430f536c5d32145caf7c4b88f"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D461A7-52B9-4315-8EDC-7600CBAAD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7E9A7-9C6D-4D65-B506-E487F40DDA30}">
  <ds:schemaRefs>
    <ds:schemaRef ds:uri="http://schemas.microsoft.com/sharepoint/v3/contenttype/forms"/>
  </ds:schemaRefs>
</ds:datastoreItem>
</file>

<file path=customXml/itemProps3.xml><?xml version="1.0" encoding="utf-8"?>
<ds:datastoreItem xmlns:ds="http://schemas.openxmlformats.org/officeDocument/2006/customXml" ds:itemID="{93785C55-ABBA-4636-BEE8-414290AC5247}">
  <ds:schemaRefs>
    <ds:schemaRef ds:uri="03d0de6a-1365-4b12-aa96-d13adab2f979"/>
    <ds:schemaRef ds:uri="http://purl.org/dc/elements/1.1/"/>
    <ds:schemaRef ds:uri="http://purl.org/dc/terms/"/>
    <ds:schemaRef ds:uri="http://schemas.openxmlformats.org/package/2006/metadata/core-properties"/>
    <ds:schemaRef ds:uri="cfaf7a7c-573f-4f8d-a03a-88aa06b7e975"/>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5376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10</cp:revision>
  <dcterms:created xsi:type="dcterms:W3CDTF">2025-11-27T18:20:00Z</dcterms:created>
  <dcterms:modified xsi:type="dcterms:W3CDTF">2025-12-09T08:25:00Z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