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Style w:val="Ninguno"/>
          <w:rFonts w:ascii="Arial" w:cs="Arial" w:hAnsi="Arial" w:eastAsia="Arial"/>
          <w:b w:val="1"/>
          <w:bCs w:val="1"/>
          <w:sz w:val="26"/>
          <w:szCs w:val="26"/>
          <w:u w:color="ae1916"/>
          <w:lang w:val="es-ES_tradnl"/>
        </w:rPr>
      </w:pPr>
      <w:r>
        <w:rPr>
          <w:rStyle w:val="Ninguno"/>
          <w:rFonts w:ascii="Arial" w:hAnsi="Arial"/>
          <w:b w:val="1"/>
          <w:bCs w:val="1"/>
          <w:sz w:val="26"/>
          <w:szCs w:val="26"/>
          <w:u w:color="ae1916"/>
          <w:rtl w:val="0"/>
          <w:lang w:val="es-ES_tradnl"/>
        </w:rPr>
        <w:t>OTO</w:t>
      </w:r>
      <w:r>
        <w:rPr>
          <w:rStyle w:val="Ninguno"/>
          <w:rFonts w:ascii="Arial" w:hAnsi="Arial" w:hint="default"/>
          <w:b w:val="1"/>
          <w:bCs w:val="1"/>
          <w:sz w:val="26"/>
          <w:szCs w:val="26"/>
          <w:u w:color="ae1916"/>
          <w:rtl w:val="0"/>
          <w:lang w:val="es-ES_tradnl"/>
        </w:rPr>
        <w:t>Ñ</w:t>
      </w:r>
      <w:r>
        <w:rPr>
          <w:rStyle w:val="Ninguno"/>
          <w:rFonts w:ascii="Arial" w:hAnsi="Arial"/>
          <w:b w:val="1"/>
          <w:bCs w:val="1"/>
          <w:sz w:val="26"/>
          <w:szCs w:val="26"/>
          <w:u w:color="ae1916"/>
          <w:rtl w:val="0"/>
          <w:lang w:val="es-ES_tradnl"/>
        </w:rPr>
        <w:t>AL GRAN RESERVA, EL VALOR DE LO COTIDIANO</w:t>
      </w:r>
    </w:p>
    <w:p>
      <w:pPr>
        <w:pStyle w:val="Por omisión"/>
        <w:suppressAutoHyphens w:val="1"/>
        <w:spacing w:before="0" w:line="240" w:lineRule="auto"/>
        <w:rPr>
          <w:rStyle w:val="Ninguno"/>
          <w:rFonts w:ascii="Arial" w:cs="Arial" w:hAnsi="Arial" w:eastAsia="Arial"/>
          <w:b w:val="1"/>
          <w:bCs w:val="1"/>
          <w:outline w:val="0"/>
          <w:color w:val="ae1916"/>
          <w:sz w:val="26"/>
          <w:szCs w:val="26"/>
          <w:u w:color="ae1916"/>
          <w14:textFill>
            <w14:solidFill>
              <w14:srgbClr w14:val="AE1916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u w:color="ae1916"/>
          <w:rtl w:val="0"/>
          <w:lang w:val="es-ES_tradnl"/>
        </w:rPr>
        <w:t>93 puntos James Suckling para un Gran Reserva de perfil cl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u w:color="ae1916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2"/>
          <w:szCs w:val="22"/>
          <w:u w:color="ae1916"/>
          <w:rtl w:val="0"/>
          <w:lang w:val="es-ES_tradnl"/>
        </w:rPr>
        <w:t>sico y coherente, firmado por Bodegas Olarra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Style w:val="Ninguno"/>
        </w:rPr>
      </w:pPr>
      <w:r>
        <w:rPr>
          <w:rStyle w:val="Ninguno"/>
        </w:rPr>
        <mc:AlternateContent>
          <mc:Choice Requires="wps">
            <w:drawing xmlns:a="http://schemas.openxmlformats.org/drawingml/2006/main">
              <wp:inline distT="0" distB="0" distL="0" distR="0">
                <wp:extent cx="6083303" cy="12702"/>
                <wp:effectExtent l="0" t="0" r="0" b="0"/>
                <wp:docPr id="1073741827" name="officeArt object" descr="Lí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3" cy="12702"/>
                        </a:xfrm>
                        <a:prstGeom prst="line">
                          <a:avLst/>
                        </a:prstGeom>
                        <a:noFill/>
                        <a:ln w="317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479.0pt;height:1.0pt;">
                <v:fill on="f"/>
                <v:stroke filltype="solid" color="#000000" opacity="100.0%" weight="2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Por omisión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120" w:line="312" w:lineRule="auto"/>
        <w:rPr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Oto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al Gran Reserva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, </w:t>
      </w:r>
      <w:r>
        <w:rPr>
          <w:rFonts w:ascii="Arial" w:hAnsi="Arial"/>
          <w:rtl w:val="0"/>
          <w:lang w:val="es-ES_tradnl"/>
        </w:rPr>
        <w:t>elaborado por Bodegas Olarra,</w:t>
      </w:r>
      <w:r>
        <w:rPr>
          <w:rFonts w:ascii="Arial" w:hAnsi="Arial"/>
          <w:rtl w:val="0"/>
          <w:lang w:val="es-ES_tradnl"/>
        </w:rPr>
        <w:t xml:space="preserve"> ha recibido 93 puntos de</w:t>
      </w:r>
      <w:r>
        <w:rPr>
          <w:rFonts w:ascii="Arial" w:hAnsi="Arial"/>
          <w:rtl w:val="0"/>
          <w:lang w:val="es-ES_tradnl"/>
        </w:rPr>
        <w:t>l prestigioso cr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tico</w:t>
      </w:r>
      <w:r>
        <w:rPr>
          <w:rFonts w:ascii="Arial" w:hAnsi="Arial"/>
          <w:rtl w:val="0"/>
          <w:lang w:val="es-ES_tradnl"/>
        </w:rPr>
        <w:t xml:space="preserve"> James Suckling, una valoraci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que sit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a al vino en un rango de alta calidad dentro de su categor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a y refuerza su credibilidad comercial ante el canal profesional. El reconocimiento llega en un momento en el que los Gran Reserva buscan seguir ganando espacio en momentos de consumo m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>s cotidianos.</w:t>
      </w:r>
    </w:p>
    <w:p>
      <w:pPr>
        <w:pStyle w:val="Normal.0"/>
        <w:spacing w:after="120"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La marca Oto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 xml:space="preserve">al forma parte de Bodegas Olarra y comparte con </w:t>
      </w:r>
      <w:r>
        <w:rPr>
          <w:rFonts w:ascii="Arial" w:hAnsi="Arial"/>
          <w:rtl w:val="0"/>
          <w:lang w:val="es-ES_tradnl"/>
        </w:rPr>
        <w:t>ella</w:t>
      </w:r>
      <w:r>
        <w:rPr>
          <w:rFonts w:ascii="Arial" w:hAnsi="Arial"/>
          <w:rtl w:val="0"/>
          <w:lang w:val="es-ES_tradnl"/>
        </w:rPr>
        <w:t xml:space="preserve"> una forma de trabajo basada en la consistencia de estilo y el rigor t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cnico. La selecci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uvas, el equilibrio del ensamblaje y el respeto por los tiempos de crianza se mantienen como criterios estables en las elaboraciones de</w:t>
      </w:r>
      <w:r>
        <w:rPr>
          <w:rFonts w:ascii="Arial" w:hAnsi="Arial"/>
          <w:rtl w:val="0"/>
          <w:lang w:val="es-ES_tradnl"/>
        </w:rPr>
        <w:t xml:space="preserve"> la bodega riojana,</w:t>
      </w:r>
      <w:r>
        <w:rPr>
          <w:rFonts w:ascii="Arial" w:hAnsi="Arial"/>
          <w:rtl w:val="0"/>
          <w:lang w:val="es-ES_tradnl"/>
        </w:rPr>
        <w:t xml:space="preserve"> independientemente de la etiqueta</w:t>
      </w:r>
      <w:r>
        <w:rPr>
          <w:rFonts w:ascii="Arial" w:hAnsi="Arial"/>
          <w:rtl w:val="0"/>
          <w:lang w:val="es-ES_tradnl"/>
        </w:rPr>
        <w:t xml:space="preserve">, </w:t>
      </w:r>
      <w:r>
        <w:rPr>
          <w:rFonts w:ascii="Arial" w:hAnsi="Arial"/>
          <w:rtl w:val="0"/>
          <w:lang w:val="es-ES_tradnl"/>
        </w:rPr>
        <w:t>el canal de venta</w:t>
      </w:r>
      <w:r>
        <w:rPr>
          <w:rFonts w:ascii="Arial" w:hAnsi="Arial"/>
          <w:rtl w:val="0"/>
          <w:lang w:val="es-ES_tradnl"/>
        </w:rPr>
        <w:t xml:space="preserve"> o en contexto de consumo.</w:t>
      </w:r>
    </w:p>
    <w:p>
      <w:pPr>
        <w:pStyle w:val="Normal.0"/>
        <w:spacing w:after="120"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En este caso, el Gran Reserva encaja con el posicionamiento general de Oto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al: vinos pensados para la vida real, con una narrativa cercana y reconocible, vinculada a momentos compartidos y al disfrute sin solemnidad. Para distribuci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y retail, esta combinaci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marca accesible y elaboraci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lida ofrece un argumento doble: rotaci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por confianza y construcci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valor por categor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a</w:t>
      </w:r>
      <w:r>
        <w:rPr>
          <w:rFonts w:ascii="Arial" w:hAnsi="Arial"/>
          <w:rtl w:val="0"/>
          <w:lang w:val="es-ES_tradnl"/>
        </w:rPr>
        <w:t>, al mismo tiempo que confirma que la calidad depende en gran medida de la coherencia con la que se elabora el vino.</w:t>
      </w:r>
      <w:r>
        <w:rPr>
          <w:rFonts w:ascii="Arial" w:hAnsi="Arial"/>
          <w:rtl w:val="0"/>
          <w:lang w:val="es-ES_tradnl"/>
        </w:rPr>
        <w:t>.</w:t>
      </w:r>
    </w:p>
    <w:p>
      <w:pPr>
        <w:pStyle w:val="Normal.0"/>
        <w:spacing w:after="120"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Con esta puntuaci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n, Oto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al Gran Reserva consolida su papel como referencia fiable dentro de Rioja, alineando percepci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marca y respaldo externo en un segmento clave para el lineal.</w:t>
      </w:r>
    </w:p>
    <w:p>
      <w:pPr>
        <w:pStyle w:val="Normal.0"/>
        <w:spacing w:after="120" w:line="312" w:lineRule="auto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Oto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al, una marca joven con recorrido</w:t>
      </w:r>
    </w:p>
    <w:p>
      <w:pPr>
        <w:pStyle w:val="Normal.0"/>
        <w:spacing w:after="120"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A pesar de su relativa juventud </w:t>
      </w:r>
      <w:r>
        <w:rPr>
          <w:rFonts w:ascii="Arial" w:hAnsi="Arial" w:hint="default"/>
          <w:rtl w:val="0"/>
          <w:lang w:val="es-ES_tradnl"/>
        </w:rPr>
        <w:t>—</w:t>
      </w:r>
      <w:r>
        <w:rPr>
          <w:rFonts w:ascii="Arial" w:hAnsi="Arial"/>
          <w:rtl w:val="0"/>
          <w:lang w:val="es-ES_tradnl"/>
        </w:rPr>
        <w:t>su lanzamiento se produjo en 2016</w:t>
      </w:r>
      <w:r>
        <w:rPr>
          <w:rFonts w:ascii="Arial" w:hAnsi="Arial" w:hint="default"/>
          <w:rtl w:val="0"/>
          <w:lang w:val="es-ES_tradnl"/>
        </w:rPr>
        <w:t>—</w:t>
      </w:r>
      <w:r>
        <w:rPr>
          <w:rFonts w:ascii="Arial" w:hAnsi="Arial"/>
          <w:rtl w:val="0"/>
          <w:lang w:val="es-ES_tradnl"/>
        </w:rPr>
        <w:t>, Oto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al ha logrado consolidarse con una propuesta clara y f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>cil de defender en el punto de venta: un Rioja pensado para el disfrute cotidiano, con un perfil fresco, cercano y accesible. Esa combinaci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ha conectado con el consumidor y explica por qu</w:t>
      </w:r>
      <w:r>
        <w:rPr>
          <w:rFonts w:ascii="Arial" w:hAnsi="Arial" w:hint="default"/>
          <w:rtl w:val="0"/>
          <w:lang w:val="es-ES_tradnl"/>
        </w:rPr>
        <w:t xml:space="preserve">é </w:t>
      </w:r>
      <w:r>
        <w:rPr>
          <w:rFonts w:ascii="Arial" w:hAnsi="Arial"/>
          <w:rtl w:val="0"/>
          <w:lang w:val="es-ES_tradnl"/>
        </w:rPr>
        <w:t>la marca se ha convertido en una referencia para muchos compradores en alimentaci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</w:t>
      </w:r>
      <w:r>
        <w:rPr>
          <w:rFonts w:ascii="Arial" w:hAnsi="Arial"/>
          <w:rtl w:val="0"/>
          <w:lang w:val="es-ES_tradnl"/>
        </w:rPr>
        <w:t xml:space="preserve"> y</w:t>
      </w:r>
      <w:r>
        <w:rPr>
          <w:rFonts w:ascii="Arial" w:hAnsi="Arial"/>
          <w:rtl w:val="0"/>
          <w:lang w:val="es-ES_tradnl"/>
        </w:rPr>
        <w:t xml:space="preserve"> se proyecta como una de las marcas con mayor recorrido y futuro dentro de los vinos de Rioja.</w:t>
      </w:r>
    </w:p>
    <w:p>
      <w:pPr>
        <w:pStyle w:val="Normal.0"/>
        <w:spacing w:after="120"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Adem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 xml:space="preserve">s, con 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Tu Cuadrilla de Vinos</w:t>
      </w:r>
      <w:r>
        <w:rPr>
          <w:rFonts w:ascii="Arial" w:hAnsi="Arial" w:hint="default"/>
          <w:rtl w:val="0"/>
          <w:lang w:val="es-ES_tradnl"/>
        </w:rPr>
        <w:t>” —</w:t>
      </w:r>
      <w:r>
        <w:rPr>
          <w:rFonts w:ascii="Arial" w:hAnsi="Arial"/>
          <w:rtl w:val="0"/>
          <w:lang w:val="es-ES_tradnl"/>
        </w:rPr>
        <w:t>su nuevo eslogan</w:t>
      </w:r>
      <w:r>
        <w:rPr>
          <w:rFonts w:ascii="Arial" w:hAnsi="Arial" w:hint="default"/>
          <w:rtl w:val="0"/>
          <w:lang w:val="es-ES_tradnl"/>
        </w:rPr>
        <w:t>—</w:t>
      </w:r>
      <w:r>
        <w:rPr>
          <w:rFonts w:ascii="Arial" w:hAnsi="Arial"/>
          <w:rtl w:val="0"/>
          <w:lang w:val="es-ES_tradnl"/>
        </w:rPr>
        <w:t>, Oto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al refuerza un posicionamiento basado en cercan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a, pertenencia y momentos compartidos. Esa l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nea encuentra continuidad en iniciativas como La Furgo de Oto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al, que acerca la marca al consumidor en un entorno vivo y de celebraci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n.</w:t>
      </w:r>
    </w:p>
    <w:p>
      <w:pPr>
        <w:pStyle w:val="Normal.0"/>
        <w:spacing w:after="120" w:line="312" w:lineRule="auto"/>
        <w:rPr>
          <w:rFonts w:ascii="Arial" w:cs="Arial" w:hAnsi="Arial" w:eastAsia="Arial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  <w:r>
        <w:rPr>
          <w:rFonts w:ascii="Arial" w:hAnsi="Arial"/>
          <w:rtl w:val="0"/>
          <w:lang w:val="ja-JP" w:eastAsia="ja-JP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</w:pPr>
      <w:r>
        <w:rPr>
          <w:rFonts w:ascii="Arial" w:cs="Arial" w:hAnsi="Arial" w:eastAsia="Arial"/>
          <w:lang w:val="ja-JP" w:eastAsia="ja-JP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814" w:right="1134" w:bottom="1134" w:left="1134" w:header="283" w:footer="567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jc w:val="right"/>
    </w:pPr>
    <w:r>
      <w:rPr>
        <w:rStyle w:val="Ninguno"/>
        <w:rFonts w:ascii="Arial" w:hAnsi="Arial"/>
        <w:b w:val="1"/>
        <w:bCs w:val="1"/>
        <w:sz w:val="16"/>
        <w:szCs w:val="16"/>
      </w:rPr>
      <w:fldChar w:fldCharType="begin" w:fldLock="0"/>
    </w:r>
    <w:r>
      <w:rPr>
        <w:rStyle w:val="Ninguno"/>
        <w:rFonts w:ascii="Arial" w:hAnsi="Arial"/>
        <w:b w:val="1"/>
        <w:bCs w:val="1"/>
        <w:sz w:val="16"/>
        <w:szCs w:val="16"/>
      </w:rPr>
      <w:instrText xml:space="preserve"> PAGE </w:instrText>
    </w:r>
    <w:r>
      <w:rPr>
        <w:rStyle w:val="Ninguno"/>
        <w:rFonts w:ascii="Arial" w:hAnsi="Arial"/>
        <w:b w:val="1"/>
        <w:bCs w:val="1"/>
        <w:sz w:val="16"/>
        <w:szCs w:val="16"/>
      </w:rPr>
      <w:fldChar w:fldCharType="separate" w:fldLock="0"/>
    </w:r>
    <w:r>
      <w:rPr>
        <w:rStyle w:val="Ninguno"/>
        <w:rFonts w:ascii="Arial" w:hAnsi="Arial"/>
        <w:b w:val="1"/>
        <w:bCs w:val="1"/>
        <w:sz w:val="16"/>
        <w:szCs w:val="16"/>
      </w:rPr>
    </w:r>
    <w:r>
      <w:rPr>
        <w:rStyle w:val="Ninguno"/>
        <w:rFonts w:ascii="Arial" w:hAnsi="Arial"/>
        <w:b w:val="1"/>
        <w:bCs w:val="1"/>
        <w:sz w:val="16"/>
        <w:szCs w:val="16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jc w:val="right"/>
    </w:pPr>
    <w:r>
      <w:rPr>
        <w:rStyle w:val="Ninguno"/>
        <w:rFonts w:ascii="Arial" w:hAnsi="Arial"/>
        <w:b w:val="1"/>
        <w:bCs w:val="1"/>
        <w:sz w:val="16"/>
        <w:szCs w:val="16"/>
      </w:rPr>
      <w:fldChar w:fldCharType="begin" w:fldLock="0"/>
    </w:r>
    <w:r>
      <w:rPr>
        <w:rStyle w:val="Ninguno"/>
        <w:rFonts w:ascii="Arial" w:hAnsi="Arial"/>
        <w:b w:val="1"/>
        <w:bCs w:val="1"/>
        <w:sz w:val="16"/>
        <w:szCs w:val="16"/>
      </w:rPr>
      <w:instrText xml:space="preserve"> PAGE </w:instrText>
    </w:r>
    <w:r>
      <w:rPr>
        <w:rStyle w:val="Ninguno"/>
        <w:rFonts w:ascii="Arial" w:hAnsi="Arial"/>
        <w:b w:val="1"/>
        <w:bCs w:val="1"/>
        <w:sz w:val="16"/>
        <w:szCs w:val="16"/>
      </w:rPr>
      <w:fldChar w:fldCharType="separate" w:fldLock="0"/>
    </w:r>
    <w:r>
      <w:rPr>
        <w:rStyle w:val="Ninguno"/>
        <w:rFonts w:ascii="Arial" w:hAnsi="Arial"/>
        <w:b w:val="1"/>
        <w:bCs w:val="1"/>
        <w:sz w:val="16"/>
        <w:szCs w:val="16"/>
      </w:rPr>
    </w:r>
    <w:r>
      <w:rPr>
        <w:rStyle w:val="Ninguno"/>
        <w:rFonts w:ascii="Arial" w:hAnsi="Arial"/>
        <w:b w:val="1"/>
        <w:bCs w:val="1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 A"/>
      <w:tabs>
        <w:tab w:val="right" w:pos="9612"/>
        <w:tab w:val="clear" w:pos="9632"/>
      </w:tabs>
    </w:pPr>
    <w:r>
      <w:drawing xmlns:a="http://schemas.openxmlformats.org/drawingml/2006/main">
        <wp:inline distT="0" distB="0" distL="0" distR="0">
          <wp:extent cx="6116321" cy="1044070"/>
          <wp:effectExtent l="0" t="0" r="0" b="0"/>
          <wp:docPr id="1073741825" name="officeArt object" descr="imagen-pegada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-pegada.tiff" descr="imagen-pegada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1044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 A"/>
      <w:tabs>
        <w:tab w:val="right" w:pos="9612"/>
        <w:tab w:val="clear" w:pos="9632"/>
      </w:tabs>
    </w:pPr>
    <w:r>
      <w:rPr>
        <w:rStyle w:val="Ninguno"/>
      </w:rPr>
      <w:drawing xmlns:a="http://schemas.openxmlformats.org/drawingml/2006/main">
        <wp:inline distT="0" distB="0" distL="0" distR="0">
          <wp:extent cx="6116321" cy="629920"/>
          <wp:effectExtent l="0" t="0" r="0" b="0"/>
          <wp:docPr id="1073741826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6299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 A">
    <w:name w:val="Cabecera y pie A"/>
    <w:next w:val="Cabecera y pie 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