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7CF2" w14:textId="1418DF9B" w:rsidR="00B71B59" w:rsidRPr="00B71B59" w:rsidRDefault="00B71B59" w:rsidP="00B71B59">
      <w:pPr>
        <w:jc w:val="right"/>
        <w:rPr>
          <w:rFonts w:ascii="Rubik" w:hAnsi="Rubik" w:cs="Rubik"/>
          <w:i/>
          <w:iCs/>
        </w:rPr>
      </w:pPr>
      <w:r w:rsidRPr="00B71B59">
        <w:rPr>
          <w:rFonts w:ascii="Rubik" w:hAnsi="Rubik" w:cs="Rubik"/>
          <w:i/>
          <w:iCs/>
        </w:rPr>
        <w:t>C</w:t>
      </w:r>
      <w:r w:rsidRPr="007B336D">
        <w:rPr>
          <w:rFonts w:ascii="Rubik" w:hAnsi="Rubik" w:cs="Rubik"/>
          <w:i/>
          <w:iCs/>
        </w:rPr>
        <w:t>omunicado de prensa</w:t>
      </w:r>
      <w:r w:rsidR="0098755D">
        <w:rPr>
          <w:rFonts w:ascii="Rubik" w:hAnsi="Rubik" w:cs="Rubik"/>
          <w:i/>
          <w:iCs/>
        </w:rPr>
        <w:t xml:space="preserve"> </w:t>
      </w:r>
      <w:r w:rsidR="008A711B">
        <w:rPr>
          <w:rFonts w:ascii="Rubik" w:hAnsi="Rubik" w:cs="Rubik"/>
          <w:i/>
          <w:iCs/>
        </w:rPr>
        <w:t>–</w:t>
      </w:r>
      <w:r w:rsidR="0098755D">
        <w:rPr>
          <w:rFonts w:ascii="Rubik" w:hAnsi="Rubik" w:cs="Rubik"/>
          <w:i/>
          <w:iCs/>
        </w:rPr>
        <w:t xml:space="preserve"> </w:t>
      </w:r>
      <w:r w:rsidR="008A711B">
        <w:rPr>
          <w:rFonts w:ascii="Rubik" w:hAnsi="Rubik" w:cs="Rubik"/>
          <w:i/>
          <w:iCs/>
        </w:rPr>
        <w:t xml:space="preserve">21 </w:t>
      </w:r>
      <w:r w:rsidR="00BB14B8">
        <w:rPr>
          <w:rFonts w:ascii="Rubik" w:hAnsi="Rubik" w:cs="Rubik"/>
          <w:i/>
          <w:iCs/>
        </w:rPr>
        <w:t xml:space="preserve">de </w:t>
      </w:r>
      <w:r w:rsidR="008A711B">
        <w:rPr>
          <w:rFonts w:ascii="Rubik" w:hAnsi="Rubik" w:cs="Rubik"/>
          <w:i/>
          <w:iCs/>
        </w:rPr>
        <w:t>enero 2026</w:t>
      </w:r>
    </w:p>
    <w:p w14:paraId="226B0664" w14:textId="77777777" w:rsidR="00B71B59" w:rsidRPr="00B71B59" w:rsidRDefault="00B71B59" w:rsidP="00B71B59">
      <w:pPr>
        <w:jc w:val="center"/>
        <w:rPr>
          <w:rFonts w:ascii="Rubik" w:hAnsi="Rubik" w:cs="Rubik"/>
          <w:b/>
          <w:bCs/>
          <w:sz w:val="24"/>
          <w:szCs w:val="24"/>
        </w:rPr>
      </w:pPr>
    </w:p>
    <w:p w14:paraId="281DAF31" w14:textId="77B0A88E" w:rsidR="00B71B59" w:rsidRPr="000C4A84" w:rsidRDefault="48A0ACA8" w:rsidP="00B71B59">
      <w:pPr>
        <w:jc w:val="center"/>
        <w:rPr>
          <w:sz w:val="28"/>
          <w:szCs w:val="28"/>
        </w:rPr>
      </w:pPr>
      <w:r w:rsidRPr="000C4A84">
        <w:rPr>
          <w:rFonts w:ascii="Rubik" w:hAnsi="Rubik" w:cs="Rubik"/>
          <w:b/>
          <w:bCs/>
          <w:sz w:val="32"/>
          <w:szCs w:val="32"/>
        </w:rPr>
        <w:t>L</w:t>
      </w:r>
      <w:r w:rsidR="54DC48D9" w:rsidRPr="000C4A84">
        <w:rPr>
          <w:rFonts w:ascii="Rubik" w:hAnsi="Rubik" w:cs="Rubik"/>
          <w:b/>
          <w:bCs/>
          <w:sz w:val="32"/>
          <w:szCs w:val="32"/>
        </w:rPr>
        <w:t>a</w:t>
      </w:r>
      <w:r w:rsidRPr="000C4A84">
        <w:rPr>
          <w:rFonts w:ascii="Rubik" w:hAnsi="Rubik" w:cs="Rubik"/>
          <w:b/>
          <w:bCs/>
          <w:sz w:val="32"/>
          <w:szCs w:val="32"/>
        </w:rPr>
        <w:t xml:space="preserve">ctalis </w:t>
      </w:r>
      <w:r w:rsidR="7E89B04A" w:rsidRPr="000C4A84">
        <w:rPr>
          <w:rFonts w:ascii="Rubik" w:hAnsi="Rubik" w:cs="Rubik"/>
          <w:b/>
          <w:bCs/>
          <w:sz w:val="32"/>
          <w:szCs w:val="32"/>
        </w:rPr>
        <w:t>Nutrició</w:t>
      </w:r>
      <w:r w:rsidRPr="000C4A84">
        <w:rPr>
          <w:rFonts w:ascii="Rubik" w:hAnsi="Rubik" w:cs="Rubik"/>
          <w:b/>
          <w:bCs/>
          <w:sz w:val="32"/>
          <w:szCs w:val="32"/>
        </w:rPr>
        <w:t>n Iberia</w:t>
      </w:r>
      <w:r w:rsidR="00B71B59" w:rsidRPr="000C4A84">
        <w:rPr>
          <w:rFonts w:ascii="Rubik" w:hAnsi="Rubik" w:cs="Rubik"/>
          <w:b/>
          <w:bCs/>
          <w:sz w:val="32"/>
          <w:szCs w:val="32"/>
        </w:rPr>
        <w:t xml:space="preserve"> procede a la retirada voluntaria </w:t>
      </w:r>
    </w:p>
    <w:p w14:paraId="7EE0DFD3" w14:textId="37DF96C0" w:rsidR="00B71B59" w:rsidRPr="000C4A84" w:rsidRDefault="00B71B59" w:rsidP="00B71B59">
      <w:pPr>
        <w:jc w:val="center"/>
        <w:rPr>
          <w:rFonts w:ascii="Rubik" w:hAnsi="Rubik" w:cs="Rubik"/>
          <w:b/>
          <w:bCs/>
          <w:sz w:val="32"/>
          <w:szCs w:val="32"/>
        </w:rPr>
      </w:pPr>
      <w:r w:rsidRPr="000C4A84">
        <w:rPr>
          <w:rFonts w:ascii="Rubik" w:hAnsi="Rubik" w:cs="Rubik"/>
          <w:b/>
          <w:bCs/>
          <w:sz w:val="32"/>
          <w:szCs w:val="32"/>
        </w:rPr>
        <w:t xml:space="preserve">de productos de la marca </w:t>
      </w:r>
      <w:r w:rsidR="3DF3F965" w:rsidRPr="000C4A84">
        <w:rPr>
          <w:rFonts w:ascii="Rubik" w:hAnsi="Rubik" w:cs="Rubik"/>
          <w:b/>
          <w:bCs/>
          <w:sz w:val="32"/>
          <w:szCs w:val="32"/>
        </w:rPr>
        <w:t>Damira</w:t>
      </w:r>
    </w:p>
    <w:p w14:paraId="13F79605" w14:textId="77777777" w:rsidR="00B71B59" w:rsidRPr="0089407E" w:rsidRDefault="00B71B59" w:rsidP="00B71B59">
      <w:pPr>
        <w:jc w:val="center"/>
        <w:rPr>
          <w:rFonts w:ascii="Rubik" w:hAnsi="Rubik" w:cs="Rubik"/>
        </w:rPr>
      </w:pPr>
    </w:p>
    <w:p w14:paraId="1C42F4BE" w14:textId="628292E8" w:rsidR="00B71B59" w:rsidRPr="0089407E" w:rsidRDefault="1FFBDCF2" w:rsidP="2C340F8F">
      <w:pPr>
        <w:pBdr>
          <w:bottom w:val="single" w:sz="4" w:space="1" w:color="000000"/>
        </w:pBdr>
        <w:jc w:val="both"/>
        <w:rPr>
          <w:rFonts w:ascii="Rubik" w:hAnsi="Rubik" w:cs="Rubik"/>
          <w:b/>
          <w:bCs/>
          <w:i/>
          <w:iCs/>
        </w:rPr>
      </w:pPr>
      <w:r w:rsidRPr="2C340F8F">
        <w:rPr>
          <w:rFonts w:ascii="Rubik" w:hAnsi="Rubik" w:cs="Rubik"/>
          <w:b/>
          <w:bCs/>
          <w:i/>
          <w:iCs/>
        </w:rPr>
        <w:t xml:space="preserve">Lactalis </w:t>
      </w:r>
      <w:r w:rsidR="79682289" w:rsidRPr="2C340F8F">
        <w:rPr>
          <w:rFonts w:ascii="Rubik" w:hAnsi="Rubik" w:cs="Rubik"/>
          <w:b/>
          <w:bCs/>
          <w:i/>
          <w:iCs/>
        </w:rPr>
        <w:t>Nutrición</w:t>
      </w:r>
      <w:r w:rsidRPr="2C340F8F">
        <w:rPr>
          <w:rFonts w:ascii="Rubik" w:hAnsi="Rubik" w:cs="Rubik"/>
          <w:b/>
          <w:bCs/>
          <w:i/>
          <w:iCs/>
        </w:rPr>
        <w:t xml:space="preserve"> Iberia</w:t>
      </w:r>
      <w:r w:rsidR="00B71B59" w:rsidRPr="2C340F8F">
        <w:rPr>
          <w:rFonts w:ascii="Rubik" w:hAnsi="Rubik" w:cs="Rubik"/>
          <w:b/>
          <w:bCs/>
          <w:i/>
          <w:iCs/>
        </w:rPr>
        <w:t xml:space="preserve"> está llevando </w:t>
      </w:r>
      <w:r w:rsidR="00B71B59" w:rsidRPr="00FD7CC9">
        <w:rPr>
          <w:rFonts w:ascii="Rubik" w:hAnsi="Rubik" w:cs="Rubik"/>
          <w:b/>
          <w:bCs/>
          <w:i/>
          <w:iCs/>
        </w:rPr>
        <w:t xml:space="preserve">a cabo la retirada voluntaria de varios lotes de leche infantil de la marca </w:t>
      </w:r>
      <w:r w:rsidR="453F91DB" w:rsidRPr="00FD7CC9">
        <w:rPr>
          <w:rFonts w:ascii="Rubik" w:hAnsi="Rubik" w:cs="Rubik"/>
          <w:b/>
          <w:bCs/>
          <w:i/>
          <w:iCs/>
        </w:rPr>
        <w:t>Damira</w:t>
      </w:r>
      <w:r w:rsidR="00B71B59" w:rsidRPr="00FD7CC9">
        <w:rPr>
          <w:rFonts w:ascii="Rubik" w:hAnsi="Rubik" w:cs="Rubik"/>
          <w:b/>
          <w:bCs/>
          <w:i/>
          <w:iCs/>
        </w:rPr>
        <w:t xml:space="preserve">, disponibles en farmacias y en la gran distribución, debido a la presencia de </w:t>
      </w:r>
      <w:proofErr w:type="spellStart"/>
      <w:r w:rsidR="00B71B59" w:rsidRPr="00FD7CC9">
        <w:rPr>
          <w:rFonts w:ascii="Rubik" w:hAnsi="Rubik" w:cs="Rubik"/>
          <w:b/>
          <w:bCs/>
          <w:i/>
          <w:iCs/>
        </w:rPr>
        <w:t>cereuli</w:t>
      </w:r>
      <w:r w:rsidR="00B71B59" w:rsidRPr="2C340F8F">
        <w:rPr>
          <w:rFonts w:ascii="Rubik" w:hAnsi="Rubik" w:cs="Rubik"/>
          <w:b/>
          <w:bCs/>
          <w:i/>
          <w:iCs/>
        </w:rPr>
        <w:t>da</w:t>
      </w:r>
      <w:proofErr w:type="spellEnd"/>
      <w:r w:rsidR="00B71B59" w:rsidRPr="2C340F8F">
        <w:rPr>
          <w:rFonts w:ascii="Rubik" w:hAnsi="Rubik" w:cs="Rubik"/>
          <w:b/>
          <w:bCs/>
          <w:i/>
          <w:iCs/>
        </w:rPr>
        <w:t xml:space="preserve"> en un ingrediente suministrado por uno de sus proveedores.</w:t>
      </w:r>
    </w:p>
    <w:p w14:paraId="4FB3D5F8" w14:textId="77777777" w:rsidR="00B71B59" w:rsidRPr="00B939D6" w:rsidRDefault="00B71B59" w:rsidP="00B71B59">
      <w:pPr>
        <w:jc w:val="both"/>
        <w:rPr>
          <w:rFonts w:ascii="Rubik" w:hAnsi="Rubik" w:cs="Rubik"/>
        </w:rPr>
      </w:pPr>
      <w:r w:rsidRPr="00B939D6">
        <w:rPr>
          <w:rFonts w:ascii="Rubik" w:hAnsi="Rubik" w:cs="Rubik"/>
        </w:rPr>
        <w:t xml:space="preserve">Esta retirada se produce tras la alerta emitida por la asociación profesional francesa de nutrición infantil, relativa a la posible presencia de </w:t>
      </w:r>
      <w:proofErr w:type="spellStart"/>
      <w:r w:rsidRPr="00B939D6">
        <w:rPr>
          <w:rFonts w:ascii="Rubik" w:hAnsi="Rubik" w:cs="Rubik"/>
        </w:rPr>
        <w:t>cereulida</w:t>
      </w:r>
      <w:proofErr w:type="spellEnd"/>
      <w:r w:rsidRPr="00B939D6">
        <w:rPr>
          <w:rFonts w:ascii="Rubik" w:hAnsi="Rubik" w:cs="Rubik"/>
        </w:rPr>
        <w:t xml:space="preserve"> en un ingrediente (el omega</w:t>
      </w:r>
      <w:r w:rsidRPr="00B939D6">
        <w:rPr>
          <w:rFonts w:ascii="Rubik" w:hAnsi="Rubik" w:cs="Rubik"/>
        </w:rPr>
        <w:noBreakHyphen/>
        <w:t xml:space="preserve">6 ARA) suministrado por un proveedor internacional y utilizado en la composición de determinadas leches infantiles. La </w:t>
      </w:r>
      <w:proofErr w:type="spellStart"/>
      <w:r w:rsidRPr="00B939D6">
        <w:rPr>
          <w:rFonts w:ascii="Rubik" w:hAnsi="Rubik" w:cs="Rubik"/>
        </w:rPr>
        <w:t>cereulida</w:t>
      </w:r>
      <w:proofErr w:type="spellEnd"/>
      <w:r w:rsidRPr="00B939D6">
        <w:rPr>
          <w:rFonts w:ascii="Rubik" w:hAnsi="Rubik" w:cs="Rubik"/>
        </w:rPr>
        <w:t xml:space="preserve"> puede provocar trastornos digestivos (vómitos y diarreas).</w:t>
      </w:r>
    </w:p>
    <w:p w14:paraId="412466BB" w14:textId="2378F46C" w:rsidR="00B71B59" w:rsidRPr="00B939D6" w:rsidRDefault="00B71B59" w:rsidP="00B71B59">
      <w:pPr>
        <w:jc w:val="both"/>
        <w:rPr>
          <w:rFonts w:ascii="Rubik" w:hAnsi="Rubik" w:cs="Rubik"/>
        </w:rPr>
      </w:pPr>
      <w:r w:rsidRPr="2C340F8F">
        <w:rPr>
          <w:rFonts w:ascii="Rubik" w:hAnsi="Rubik" w:cs="Rubik"/>
        </w:rPr>
        <w:t xml:space="preserve">Tras recibir esta alerta, y en paralelo con los análisis solicitados al proveedor del ingrediente en cuestión, </w:t>
      </w:r>
      <w:r w:rsidR="64E7F5C4" w:rsidRPr="2C340F8F">
        <w:rPr>
          <w:rFonts w:ascii="Rubik" w:hAnsi="Rubik" w:cs="Rubik"/>
        </w:rPr>
        <w:t>Lactalis Nutrición Iberia</w:t>
      </w:r>
      <w:r w:rsidRPr="2C340F8F">
        <w:rPr>
          <w:rFonts w:ascii="Rubik" w:hAnsi="Rubik" w:cs="Rubik"/>
        </w:rPr>
        <w:t xml:space="preserve"> puso inmediatamente en marcha análisis a través de un laboratorio independiente acreditado con el fin de evaluar los productos potencialmente afectados.</w:t>
      </w:r>
    </w:p>
    <w:p w14:paraId="2C85F365" w14:textId="56FD265A" w:rsidR="00B71B59" w:rsidRPr="00B939D6" w:rsidRDefault="00B71B59" w:rsidP="00B71B59">
      <w:pPr>
        <w:jc w:val="both"/>
        <w:rPr>
          <w:rFonts w:ascii="Rubik" w:hAnsi="Rubik" w:cs="Rubik"/>
        </w:rPr>
      </w:pPr>
      <w:r w:rsidRPr="2C340F8F">
        <w:rPr>
          <w:rFonts w:ascii="Rubik" w:hAnsi="Rubik" w:cs="Rubik"/>
        </w:rPr>
        <w:t xml:space="preserve">Los primeros análisis, realizados tanto en el ingrediente ARA como en el producto final mediante un método internacional normalizado, ofrecieron todos resultados conformes. Posteriormente, la empresa decidió llevar a cabo análisis complementarios sobre el producto reconstituido (es decir, el biberón preparado). Estos últimos análisis, recibidos el 20 de enero, revelaron la presencia de </w:t>
      </w:r>
      <w:proofErr w:type="spellStart"/>
      <w:r w:rsidRPr="2C340F8F">
        <w:rPr>
          <w:rFonts w:ascii="Rubik" w:hAnsi="Rubik" w:cs="Rubik"/>
        </w:rPr>
        <w:t>cereulida</w:t>
      </w:r>
      <w:proofErr w:type="spellEnd"/>
      <w:r w:rsidRPr="2C340F8F">
        <w:rPr>
          <w:rFonts w:ascii="Rubik" w:hAnsi="Rubik" w:cs="Rubik"/>
        </w:rPr>
        <w:t xml:space="preserve"> y han llevado a </w:t>
      </w:r>
      <w:r w:rsidR="42DCA2AE" w:rsidRPr="2C340F8F">
        <w:rPr>
          <w:rFonts w:ascii="Rubik" w:hAnsi="Rubik" w:cs="Rubik"/>
        </w:rPr>
        <w:t>Lactalis Nutrición Iberia</w:t>
      </w:r>
      <w:r w:rsidRPr="2C340F8F">
        <w:rPr>
          <w:rFonts w:ascii="Rubik" w:hAnsi="Rubik" w:cs="Rubik"/>
        </w:rPr>
        <w:t xml:space="preserve"> como medida de precaución, a proceder a la retirada voluntaria de los lotes afectados.</w:t>
      </w:r>
    </w:p>
    <w:p w14:paraId="29D72CE7" w14:textId="671ABCA0" w:rsidR="00B71B59" w:rsidRPr="00B939D6" w:rsidRDefault="00B71B59" w:rsidP="00B71B59">
      <w:pPr>
        <w:jc w:val="both"/>
        <w:rPr>
          <w:rFonts w:ascii="Rubik" w:hAnsi="Rubik" w:cs="Rubik"/>
        </w:rPr>
      </w:pPr>
      <w:r w:rsidRPr="00B939D6">
        <w:rPr>
          <w:rFonts w:ascii="Rubik" w:hAnsi="Rubik" w:cs="Rubik"/>
        </w:rPr>
        <w:t>Somos plenamente conscientes de que esta información puede generar preocupación entre los padres de niños pequeños. Hasta la fecha, no se ha recibido ninguna reclamación ni notificación vinculada al consumo de estos productos.</w:t>
      </w:r>
    </w:p>
    <w:p w14:paraId="101B0FAE" w14:textId="1CE565AD" w:rsidR="00B71B59" w:rsidRPr="00B00D9E" w:rsidRDefault="00B71B59" w:rsidP="00B00D9E">
      <w:pPr>
        <w:jc w:val="both"/>
        <w:rPr>
          <w:rFonts w:ascii="Rubik" w:hAnsi="Rubik" w:cs="Rubik"/>
          <w:b/>
          <w:bCs/>
        </w:rPr>
      </w:pPr>
      <w:r w:rsidRPr="002C5377">
        <w:rPr>
          <w:rFonts w:ascii="Rubik" w:hAnsi="Rubik" w:cs="Rubik"/>
        </w:rPr>
        <w:t xml:space="preserve">Invitamos a los consumidores a consultar la lista de productos y números de lote afectados que figura a continuación. </w:t>
      </w:r>
      <w:r w:rsidRPr="002C5377">
        <w:rPr>
          <w:rFonts w:ascii="Rubik" w:hAnsi="Rubik" w:cs="Rubik"/>
          <w:b/>
          <w:bCs/>
        </w:rPr>
        <w:t>Únicamente estos productos y números de lote están incluidos en esta retirada. Todos los demás productos, así como los demás lotes de estos mismos productos, pueden consumirse con total seguridad.</w:t>
      </w:r>
    </w:p>
    <w:tbl>
      <w:tblPr>
        <w:tblStyle w:val="Tablaconcuadrcula"/>
        <w:tblW w:w="9684" w:type="dxa"/>
        <w:tblInd w:w="38" w:type="dxa"/>
        <w:tblLook w:val="04A0" w:firstRow="1" w:lastRow="0" w:firstColumn="1" w:lastColumn="0" w:noHBand="0" w:noVBand="1"/>
      </w:tblPr>
      <w:tblGrid>
        <w:gridCol w:w="2303"/>
        <w:gridCol w:w="2303"/>
        <w:gridCol w:w="2303"/>
        <w:gridCol w:w="2775"/>
      </w:tblGrid>
      <w:tr w:rsidR="00B71B59" w:rsidRPr="00B71B59" w14:paraId="1764364B" w14:textId="77777777" w:rsidTr="57AFB514">
        <w:trPr>
          <w:trHeight w:val="310"/>
        </w:trPr>
        <w:tc>
          <w:tcPr>
            <w:tcW w:w="2303" w:type="dxa"/>
          </w:tcPr>
          <w:p w14:paraId="79353005" w14:textId="77777777" w:rsidR="00B71B59" w:rsidRPr="00E70FB5" w:rsidRDefault="00B71B59" w:rsidP="00E70FB5">
            <w:pPr>
              <w:tabs>
                <w:tab w:val="left" w:pos="2934"/>
              </w:tabs>
              <w:jc w:val="center"/>
              <w:rPr>
                <w:rFonts w:ascii="Rubik" w:hAnsi="Rubik" w:cs="Rubik"/>
                <w:sz w:val="20"/>
                <w:szCs w:val="20"/>
              </w:rPr>
            </w:pPr>
            <w:r w:rsidRPr="00E70FB5">
              <w:rPr>
                <w:rFonts w:ascii="Rubik" w:hAnsi="Rubik" w:cs="Rubik"/>
                <w:sz w:val="20"/>
                <w:szCs w:val="20"/>
              </w:rPr>
              <w:t>FOTOS</w:t>
            </w:r>
          </w:p>
        </w:tc>
        <w:tc>
          <w:tcPr>
            <w:tcW w:w="2303" w:type="dxa"/>
          </w:tcPr>
          <w:p w14:paraId="0880174C" w14:textId="77777777" w:rsidR="00B71B59" w:rsidRPr="00E70FB5" w:rsidRDefault="00B71B59" w:rsidP="00E70FB5">
            <w:pPr>
              <w:tabs>
                <w:tab w:val="left" w:pos="2934"/>
              </w:tabs>
              <w:jc w:val="center"/>
              <w:rPr>
                <w:rFonts w:ascii="Rubik" w:hAnsi="Rubik" w:cs="Rubik"/>
                <w:sz w:val="20"/>
                <w:szCs w:val="20"/>
              </w:rPr>
            </w:pPr>
            <w:r w:rsidRPr="00E70FB5">
              <w:rPr>
                <w:rFonts w:ascii="Rubik" w:hAnsi="Rubik" w:cs="Rubik"/>
                <w:sz w:val="20"/>
                <w:szCs w:val="20"/>
              </w:rPr>
              <w:t>REF PRODUCTO</w:t>
            </w:r>
          </w:p>
        </w:tc>
        <w:tc>
          <w:tcPr>
            <w:tcW w:w="2303" w:type="dxa"/>
          </w:tcPr>
          <w:p w14:paraId="350A6C3E" w14:textId="77777777" w:rsidR="00B71B59" w:rsidRPr="00E70FB5" w:rsidRDefault="00B71B59" w:rsidP="00E70FB5">
            <w:pPr>
              <w:tabs>
                <w:tab w:val="left" w:pos="2934"/>
              </w:tabs>
              <w:jc w:val="center"/>
              <w:rPr>
                <w:rFonts w:ascii="Rubik" w:hAnsi="Rubik" w:cs="Rubik"/>
                <w:sz w:val="20"/>
                <w:szCs w:val="20"/>
              </w:rPr>
            </w:pPr>
            <w:r w:rsidRPr="00E70FB5">
              <w:rPr>
                <w:rFonts w:ascii="Rubik" w:hAnsi="Rubik" w:cs="Rubik"/>
                <w:sz w:val="20"/>
                <w:szCs w:val="20"/>
              </w:rPr>
              <w:t>NUMERO DE LOTE</w:t>
            </w:r>
          </w:p>
        </w:tc>
        <w:tc>
          <w:tcPr>
            <w:tcW w:w="2775" w:type="dxa"/>
          </w:tcPr>
          <w:p w14:paraId="24381AAD" w14:textId="15F9CF40" w:rsidR="00B71B59" w:rsidRPr="00E70FB5" w:rsidRDefault="00B71B59" w:rsidP="00E70FB5">
            <w:pPr>
              <w:spacing w:after="160" w:line="259" w:lineRule="auto"/>
              <w:jc w:val="center"/>
              <w:rPr>
                <w:rFonts w:ascii="Rubik" w:hAnsi="Rubik" w:cs="Rubik"/>
                <w:sz w:val="20"/>
                <w:szCs w:val="20"/>
              </w:rPr>
            </w:pPr>
            <w:r w:rsidRPr="00E70FB5">
              <w:rPr>
                <w:rFonts w:ascii="Rubik" w:hAnsi="Rubik" w:cs="Rubik"/>
                <w:sz w:val="20"/>
                <w:szCs w:val="20"/>
              </w:rPr>
              <w:t xml:space="preserve">FECHA DE </w:t>
            </w:r>
            <w:r w:rsidR="01158AFA" w:rsidRPr="00E70FB5">
              <w:rPr>
                <w:rFonts w:ascii="Rubik" w:hAnsi="Rubik" w:cs="Rubik"/>
                <w:sz w:val="20"/>
                <w:szCs w:val="20"/>
              </w:rPr>
              <w:t>CADUCIDAD</w:t>
            </w:r>
          </w:p>
        </w:tc>
      </w:tr>
      <w:tr w:rsidR="00B71B59" w:rsidRPr="00B71B59" w14:paraId="37E3BCD4" w14:textId="77777777" w:rsidTr="57AFB514">
        <w:tc>
          <w:tcPr>
            <w:tcW w:w="2303" w:type="dxa"/>
          </w:tcPr>
          <w:p w14:paraId="7A838DBF" w14:textId="6562A0F2" w:rsidR="00B71B59" w:rsidRPr="00B71B59" w:rsidRDefault="1C61E88E" w:rsidP="57AFB514">
            <w:pPr>
              <w:tabs>
                <w:tab w:val="left" w:pos="2934"/>
              </w:tabs>
              <w:jc w:val="center"/>
              <w:rPr>
                <w:rFonts w:ascii="Calibri" w:eastAsia="Calibri" w:hAnsi="Calibri" w:cs="Calibri"/>
                <w:sz w:val="20"/>
                <w:szCs w:val="20"/>
              </w:rPr>
            </w:pPr>
            <w:r>
              <w:rPr>
                <w:noProof/>
              </w:rPr>
              <w:drawing>
                <wp:inline distT="0" distB="0" distL="0" distR="0" wp14:anchorId="1513719A" wp14:editId="58468F0C">
                  <wp:extent cx="1200150" cy="1314450"/>
                  <wp:effectExtent l="0" t="0" r="0" b="0"/>
                  <wp:docPr id="1033238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343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150" cy="1314450"/>
                          </a:xfrm>
                          <a:prstGeom prst="rect">
                            <a:avLst/>
                          </a:prstGeom>
                        </pic:spPr>
                      </pic:pic>
                    </a:graphicData>
                  </a:graphic>
                </wp:inline>
              </w:drawing>
            </w:r>
          </w:p>
        </w:tc>
        <w:tc>
          <w:tcPr>
            <w:tcW w:w="2303" w:type="dxa"/>
            <w:vAlign w:val="center"/>
          </w:tcPr>
          <w:p w14:paraId="42C3CB9B" w14:textId="77777777" w:rsidR="00B00D9E" w:rsidRPr="00B00D9E" w:rsidRDefault="2C340F8F" w:rsidP="00B00D9E">
            <w:pPr>
              <w:jc w:val="center"/>
              <w:rPr>
                <w:rFonts w:ascii="Calibri" w:eastAsia="Calibri" w:hAnsi="Calibri" w:cs="Calibri"/>
                <w:sz w:val="20"/>
                <w:szCs w:val="20"/>
              </w:rPr>
            </w:pPr>
            <w:r w:rsidRPr="00B00D9E">
              <w:rPr>
                <w:rFonts w:ascii="Calibri" w:eastAsia="Calibri" w:hAnsi="Calibri" w:cs="Calibri"/>
                <w:sz w:val="20"/>
                <w:szCs w:val="20"/>
              </w:rPr>
              <w:t>DAMIRA NATUR 2</w:t>
            </w:r>
          </w:p>
          <w:p w14:paraId="2B1C6B25" w14:textId="3D4E8BD1" w:rsidR="2C340F8F" w:rsidRPr="00B00D9E" w:rsidRDefault="00AA742C" w:rsidP="00B00D9E">
            <w:pPr>
              <w:jc w:val="center"/>
              <w:rPr>
                <w:rFonts w:ascii="Calibri" w:eastAsia="Calibri" w:hAnsi="Calibri" w:cs="Calibri"/>
                <w:sz w:val="20"/>
                <w:szCs w:val="20"/>
              </w:rPr>
            </w:pPr>
            <w:r w:rsidRPr="57AFB514">
              <w:rPr>
                <w:rFonts w:ascii="Calibri" w:eastAsia="Calibri" w:hAnsi="Calibri" w:cs="Calibri"/>
                <w:sz w:val="20"/>
                <w:szCs w:val="20"/>
              </w:rPr>
              <w:t>800g</w:t>
            </w:r>
          </w:p>
        </w:tc>
        <w:tc>
          <w:tcPr>
            <w:tcW w:w="2303" w:type="dxa"/>
            <w:vAlign w:val="center"/>
          </w:tcPr>
          <w:p w14:paraId="35F6C768" w14:textId="42D2E797" w:rsidR="2C340F8F" w:rsidRPr="00B00D9E" w:rsidRDefault="2C340F8F" w:rsidP="00B00D9E">
            <w:pPr>
              <w:jc w:val="center"/>
              <w:rPr>
                <w:sz w:val="20"/>
                <w:szCs w:val="20"/>
              </w:rPr>
            </w:pPr>
            <w:r w:rsidRPr="00B00D9E">
              <w:rPr>
                <w:rFonts w:ascii="Calibri" w:eastAsia="Calibri" w:hAnsi="Calibri" w:cs="Calibri"/>
                <w:sz w:val="20"/>
                <w:szCs w:val="20"/>
              </w:rPr>
              <w:t>8000003302</w:t>
            </w:r>
          </w:p>
        </w:tc>
        <w:tc>
          <w:tcPr>
            <w:tcW w:w="2775" w:type="dxa"/>
            <w:vAlign w:val="center"/>
          </w:tcPr>
          <w:p w14:paraId="18F247EF" w14:textId="3FF3AE72" w:rsidR="2C340F8F" w:rsidRPr="00B00D9E" w:rsidRDefault="2C340F8F" w:rsidP="00B00D9E">
            <w:pPr>
              <w:jc w:val="center"/>
              <w:rPr>
                <w:sz w:val="20"/>
                <w:szCs w:val="20"/>
              </w:rPr>
            </w:pPr>
            <w:r w:rsidRPr="00B00D9E">
              <w:rPr>
                <w:rFonts w:ascii="Calibri" w:eastAsia="Calibri" w:hAnsi="Calibri" w:cs="Calibri"/>
                <w:sz w:val="20"/>
                <w:szCs w:val="20"/>
              </w:rPr>
              <w:t>29/01/2027</w:t>
            </w:r>
          </w:p>
        </w:tc>
      </w:tr>
      <w:tr w:rsidR="2C340F8F" w14:paraId="0DF3AF9E" w14:textId="77777777" w:rsidTr="57AFB514">
        <w:trPr>
          <w:trHeight w:val="300"/>
        </w:trPr>
        <w:tc>
          <w:tcPr>
            <w:tcW w:w="2303" w:type="dxa"/>
          </w:tcPr>
          <w:p w14:paraId="01E2A927" w14:textId="457D756C" w:rsidR="2C340F8F" w:rsidRDefault="562A498B" w:rsidP="2C340F8F">
            <w:pPr>
              <w:jc w:val="center"/>
              <w:rPr>
                <w:rFonts w:ascii="Rubik" w:hAnsi="Rubik" w:cs="Rubik"/>
              </w:rPr>
            </w:pPr>
            <w:r>
              <w:rPr>
                <w:noProof/>
              </w:rPr>
              <w:drawing>
                <wp:inline distT="0" distB="0" distL="0" distR="0" wp14:anchorId="2C7B25F3" wp14:editId="27E6B1FA">
                  <wp:extent cx="1200150" cy="1314450"/>
                  <wp:effectExtent l="0" t="0" r="0" b="0"/>
                  <wp:docPr id="17551423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4237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1314450"/>
                          </a:xfrm>
                          <a:prstGeom prst="rect">
                            <a:avLst/>
                          </a:prstGeom>
                        </pic:spPr>
                      </pic:pic>
                    </a:graphicData>
                  </a:graphic>
                </wp:inline>
              </w:drawing>
            </w:r>
          </w:p>
        </w:tc>
        <w:tc>
          <w:tcPr>
            <w:tcW w:w="2303" w:type="dxa"/>
            <w:vAlign w:val="center"/>
          </w:tcPr>
          <w:p w14:paraId="3CEACB11" w14:textId="167D276A" w:rsidR="00B00D9E" w:rsidRPr="00B00D9E" w:rsidRDefault="2C340F8F" w:rsidP="00B00D9E">
            <w:pPr>
              <w:jc w:val="center"/>
              <w:rPr>
                <w:rFonts w:ascii="Calibri" w:eastAsia="Calibri" w:hAnsi="Calibri" w:cs="Calibri"/>
                <w:sz w:val="20"/>
                <w:szCs w:val="20"/>
              </w:rPr>
            </w:pPr>
            <w:r w:rsidRPr="00B00D9E">
              <w:rPr>
                <w:rFonts w:ascii="Calibri" w:eastAsia="Calibri" w:hAnsi="Calibri" w:cs="Calibri"/>
                <w:sz w:val="20"/>
                <w:szCs w:val="20"/>
              </w:rPr>
              <w:t>DAMIRA NATUR 1</w:t>
            </w:r>
          </w:p>
          <w:p w14:paraId="2CCB595B" w14:textId="6C66C043" w:rsidR="2C340F8F" w:rsidRPr="00B00D9E" w:rsidRDefault="00AA742C" w:rsidP="00B00D9E">
            <w:pPr>
              <w:jc w:val="center"/>
              <w:rPr>
                <w:sz w:val="20"/>
                <w:szCs w:val="20"/>
              </w:rPr>
            </w:pPr>
            <w:r w:rsidRPr="00B00D9E">
              <w:rPr>
                <w:rFonts w:ascii="Calibri" w:eastAsia="Calibri" w:hAnsi="Calibri" w:cs="Calibri"/>
                <w:sz w:val="20"/>
                <w:szCs w:val="20"/>
              </w:rPr>
              <w:t>800g</w:t>
            </w:r>
          </w:p>
        </w:tc>
        <w:tc>
          <w:tcPr>
            <w:tcW w:w="2303" w:type="dxa"/>
            <w:vAlign w:val="center"/>
          </w:tcPr>
          <w:p w14:paraId="37024917" w14:textId="127002D6" w:rsidR="2C340F8F" w:rsidRPr="00B00D9E" w:rsidRDefault="2C340F8F" w:rsidP="00B00D9E">
            <w:pPr>
              <w:jc w:val="center"/>
              <w:rPr>
                <w:sz w:val="20"/>
                <w:szCs w:val="20"/>
              </w:rPr>
            </w:pPr>
            <w:r w:rsidRPr="00B00D9E">
              <w:rPr>
                <w:rFonts w:ascii="Calibri" w:eastAsia="Calibri" w:hAnsi="Calibri" w:cs="Calibri"/>
                <w:sz w:val="20"/>
                <w:szCs w:val="20"/>
              </w:rPr>
              <w:t>8000003307</w:t>
            </w:r>
          </w:p>
        </w:tc>
        <w:tc>
          <w:tcPr>
            <w:tcW w:w="2775" w:type="dxa"/>
            <w:vAlign w:val="center"/>
          </w:tcPr>
          <w:p w14:paraId="56A68BEC" w14:textId="5EDC3E1D" w:rsidR="2C340F8F" w:rsidRPr="00B00D9E" w:rsidRDefault="2C340F8F" w:rsidP="00B00D9E">
            <w:pPr>
              <w:jc w:val="center"/>
              <w:rPr>
                <w:sz w:val="20"/>
                <w:szCs w:val="20"/>
              </w:rPr>
            </w:pPr>
            <w:r w:rsidRPr="00B00D9E">
              <w:rPr>
                <w:rFonts w:ascii="Calibri" w:eastAsia="Calibri" w:hAnsi="Calibri" w:cs="Calibri"/>
                <w:sz w:val="20"/>
                <w:szCs w:val="20"/>
              </w:rPr>
              <w:t>19/02/2027</w:t>
            </w:r>
          </w:p>
        </w:tc>
      </w:tr>
    </w:tbl>
    <w:p w14:paraId="36CFDCB2" w14:textId="77777777" w:rsidR="00B71B59" w:rsidRPr="00B71B59" w:rsidRDefault="00B71B59" w:rsidP="00B71B59">
      <w:pPr>
        <w:jc w:val="both"/>
        <w:rPr>
          <w:rFonts w:ascii="Rubik" w:hAnsi="Rubik" w:cs="Rubik"/>
        </w:rPr>
      </w:pPr>
    </w:p>
    <w:p w14:paraId="5F525DAC" w14:textId="37D69CD6" w:rsidR="00B71B59" w:rsidRPr="00B71B59" w:rsidRDefault="00B71B59" w:rsidP="00B71B59">
      <w:pPr>
        <w:jc w:val="both"/>
        <w:rPr>
          <w:rFonts w:ascii="Rubik" w:hAnsi="Rubik" w:cs="Rubik"/>
        </w:rPr>
      </w:pPr>
      <w:r w:rsidRPr="0089407E">
        <w:rPr>
          <w:rFonts w:ascii="Rubik" w:hAnsi="Rubik" w:cs="Rubik"/>
        </w:rPr>
        <w:t xml:space="preserve">Se ha habilitado un </w:t>
      </w:r>
      <w:r w:rsidRPr="004C3A03">
        <w:rPr>
          <w:rFonts w:ascii="Rubik" w:hAnsi="Rubik" w:cs="Rubik"/>
          <w:b/>
          <w:bCs/>
        </w:rPr>
        <w:t>número gratuito para atender las consultas de los consumidores</w:t>
      </w:r>
      <w:r w:rsidR="005973CA">
        <w:rPr>
          <w:rFonts w:ascii="Rubik" w:hAnsi="Rubik" w:cs="Rubik"/>
        </w:rPr>
        <w:t xml:space="preserve"> e informar de los siguientes pasos</w:t>
      </w:r>
      <w:r w:rsidRPr="0089407E">
        <w:rPr>
          <w:rFonts w:ascii="Rubik" w:hAnsi="Rubik" w:cs="Rubik"/>
        </w:rPr>
        <w:t>:</w:t>
      </w:r>
    </w:p>
    <w:p w14:paraId="75E0747C" w14:textId="72FC2BDD" w:rsidR="00B71B59" w:rsidRPr="004C3A03" w:rsidRDefault="009E2797" w:rsidP="00B71B59">
      <w:pPr>
        <w:rPr>
          <w:rFonts w:ascii="Rubik" w:hAnsi="Rubik" w:cs="Rubik"/>
          <w:b/>
          <w:bCs/>
        </w:rPr>
      </w:pPr>
      <w:r w:rsidRPr="004C3A03">
        <w:rPr>
          <w:rFonts w:ascii="Rubik" w:hAnsi="Rubik" w:cs="Rubik"/>
          <w:b/>
          <w:bCs/>
        </w:rPr>
        <w:t xml:space="preserve">900 10 23 </w:t>
      </w:r>
      <w:r w:rsidR="00A63B89" w:rsidRPr="004C3A03">
        <w:rPr>
          <w:rFonts w:ascii="Rubik" w:hAnsi="Rubik" w:cs="Rubik"/>
          <w:b/>
          <w:bCs/>
        </w:rPr>
        <w:t>36</w:t>
      </w:r>
    </w:p>
    <w:p w14:paraId="3EE1B38E" w14:textId="0B1CBACA" w:rsidR="00B71B59" w:rsidRPr="0089407E" w:rsidRDefault="00B71B59" w:rsidP="00B71B59">
      <w:pPr>
        <w:jc w:val="both"/>
        <w:rPr>
          <w:rFonts w:ascii="Rubik" w:hAnsi="Rubik" w:cs="Rubik"/>
        </w:rPr>
      </w:pPr>
      <w:r w:rsidRPr="0089407E">
        <w:rPr>
          <w:rFonts w:ascii="Rubik" w:hAnsi="Rubik" w:cs="Rubik"/>
        </w:rPr>
        <w:t>Se solicita a las familias:</w:t>
      </w:r>
    </w:p>
    <w:p w14:paraId="73B227D3" w14:textId="77777777" w:rsidR="00B71B59" w:rsidRPr="00B83666" w:rsidRDefault="00B71B59" w:rsidP="00B71B59">
      <w:pPr>
        <w:numPr>
          <w:ilvl w:val="0"/>
          <w:numId w:val="1"/>
        </w:numPr>
        <w:jc w:val="both"/>
        <w:rPr>
          <w:rFonts w:ascii="Rubik" w:hAnsi="Rubik" w:cs="Rubik"/>
        </w:rPr>
      </w:pPr>
      <w:r w:rsidRPr="00B83666">
        <w:rPr>
          <w:rFonts w:ascii="Rubik" w:hAnsi="Rubik" w:cs="Rubik"/>
        </w:rPr>
        <w:t>No consumir los productos pertenecientes a los lotes indicados.</w:t>
      </w:r>
    </w:p>
    <w:p w14:paraId="14AEB04F" w14:textId="77777777" w:rsidR="00B71B59" w:rsidRPr="00B83666" w:rsidRDefault="00B71B59" w:rsidP="00B71B59">
      <w:pPr>
        <w:numPr>
          <w:ilvl w:val="0"/>
          <w:numId w:val="1"/>
        </w:numPr>
        <w:jc w:val="both"/>
        <w:rPr>
          <w:rFonts w:ascii="Rubik" w:hAnsi="Rubik" w:cs="Rubik"/>
        </w:rPr>
      </w:pPr>
      <w:r w:rsidRPr="00B83666">
        <w:rPr>
          <w:rFonts w:ascii="Rubik" w:hAnsi="Rubik" w:cs="Rubik"/>
        </w:rPr>
        <w:t>No devolver estos productos al punto de venta.</w:t>
      </w:r>
    </w:p>
    <w:p w14:paraId="0CAE747C" w14:textId="3757213A" w:rsidR="00B71B59" w:rsidRPr="00B83666" w:rsidRDefault="00B71B59" w:rsidP="00B71B59">
      <w:pPr>
        <w:numPr>
          <w:ilvl w:val="0"/>
          <w:numId w:val="1"/>
        </w:numPr>
        <w:jc w:val="both"/>
        <w:rPr>
          <w:rFonts w:ascii="Rubik" w:hAnsi="Rubik" w:cs="Rubik"/>
        </w:rPr>
      </w:pPr>
      <w:r w:rsidRPr="00B83666">
        <w:rPr>
          <w:rFonts w:ascii="Rubik" w:hAnsi="Rubik" w:cs="Rubik"/>
        </w:rPr>
        <w:t>Tomar una fotografía clara y legible del número de lote que figura en la base de cada envase afectado, con el fin de permitir la tramitación de su solicitud de compensació</w:t>
      </w:r>
      <w:r w:rsidR="00A63B89" w:rsidRPr="00B83666">
        <w:rPr>
          <w:rFonts w:ascii="Rubik" w:hAnsi="Rubik" w:cs="Rubik"/>
        </w:rPr>
        <w:t>n</w:t>
      </w:r>
      <w:r w:rsidR="002226EB" w:rsidRPr="00B83666">
        <w:rPr>
          <w:rFonts w:ascii="Rubik" w:hAnsi="Rubik" w:cs="Rubik"/>
        </w:rPr>
        <w:t>, siguiendo las indicaciones específicas del Servicio de Atención al Consumidor habilitado específicamente.</w:t>
      </w:r>
    </w:p>
    <w:p w14:paraId="66B14383" w14:textId="77777777" w:rsidR="00B71B59" w:rsidRPr="00B83666" w:rsidRDefault="00B71B59" w:rsidP="00B71B59">
      <w:pPr>
        <w:numPr>
          <w:ilvl w:val="0"/>
          <w:numId w:val="1"/>
        </w:numPr>
        <w:jc w:val="both"/>
        <w:rPr>
          <w:rFonts w:ascii="Rubik" w:hAnsi="Rubik" w:cs="Rubik"/>
        </w:rPr>
      </w:pPr>
      <w:r w:rsidRPr="00B83666">
        <w:rPr>
          <w:rFonts w:ascii="Rubik" w:hAnsi="Rubik" w:cs="Rubik"/>
        </w:rPr>
        <w:t>Desechar los productos afectados.</w:t>
      </w:r>
    </w:p>
    <w:p w14:paraId="3977F712" w14:textId="77777777" w:rsidR="00B71B59" w:rsidRPr="00B71B59" w:rsidRDefault="00B71B59" w:rsidP="00B71B59">
      <w:pPr>
        <w:jc w:val="both"/>
        <w:rPr>
          <w:rFonts w:ascii="Rubik" w:hAnsi="Rubik" w:cs="Rubik"/>
        </w:rPr>
      </w:pPr>
    </w:p>
    <w:p w14:paraId="4A4E3864" w14:textId="77777777" w:rsidR="00B71B59" w:rsidRPr="0089407E" w:rsidRDefault="00B71B59" w:rsidP="00B71B59">
      <w:pPr>
        <w:jc w:val="both"/>
        <w:rPr>
          <w:rFonts w:ascii="Rubik" w:hAnsi="Rubik" w:cs="Rubik"/>
        </w:rPr>
      </w:pPr>
      <w:r w:rsidRPr="0089407E">
        <w:rPr>
          <w:rFonts w:ascii="Rubik" w:hAnsi="Rubik" w:cs="Rubik"/>
        </w:rPr>
        <w:t>Si tiene cualquier duda relacionada con la salud de su hijo, le recomendamos ponerse en contacto con un profesional sanitario.</w:t>
      </w:r>
    </w:p>
    <w:p w14:paraId="3ECCBFF1" w14:textId="5BF7713C" w:rsidR="00B71B59" w:rsidRPr="000C4A84" w:rsidRDefault="000C4A84" w:rsidP="00B71B59">
      <w:pPr>
        <w:rPr>
          <w:rFonts w:ascii="Rubik" w:hAnsi="Rubik" w:cs="Rubik"/>
          <w:b/>
          <w:bCs/>
        </w:rPr>
      </w:pPr>
      <w:r>
        <w:rPr>
          <w:rFonts w:ascii="Rubik" w:hAnsi="Rubik" w:cs="Rubik"/>
          <w:b/>
          <w:bCs/>
        </w:rPr>
        <w:br/>
      </w:r>
      <w:r w:rsidR="00B71B59" w:rsidRPr="000C4A84">
        <w:rPr>
          <w:rFonts w:ascii="Rubik" w:hAnsi="Rubik" w:cs="Rubik"/>
          <w:b/>
          <w:bCs/>
        </w:rPr>
        <w:t>CONTACTO:</w:t>
      </w:r>
    </w:p>
    <w:p w14:paraId="0F96E10A" w14:textId="77777777" w:rsidR="000C4A84" w:rsidRPr="000C4A84" w:rsidRDefault="000C4A84" w:rsidP="000C4A84">
      <w:pPr>
        <w:spacing w:after="0" w:line="240" w:lineRule="auto"/>
        <w:jc w:val="both"/>
        <w:rPr>
          <w:rFonts w:ascii="Rubik" w:eastAsia="SimSun" w:hAnsi="Rubik" w:cs="Rubik"/>
          <w:b/>
          <w:bCs/>
          <w:color w:val="002060"/>
          <w:lang w:eastAsia="zh-CN"/>
        </w:rPr>
      </w:pPr>
      <w:r w:rsidRPr="000C4A84">
        <w:rPr>
          <w:rFonts w:ascii="Rubik" w:eastAsia="SimSun" w:hAnsi="Rubik" w:cs="Rubik"/>
          <w:b/>
          <w:bCs/>
          <w:color w:val="002060"/>
          <w:lang w:eastAsia="zh-CN"/>
        </w:rPr>
        <w:t>Jorge Oliva</w:t>
      </w:r>
    </w:p>
    <w:p w14:paraId="2A440205" w14:textId="77777777" w:rsidR="000C4A84" w:rsidRPr="000C4A84" w:rsidRDefault="000C4A84" w:rsidP="000C4A84">
      <w:pPr>
        <w:spacing w:after="0" w:line="240" w:lineRule="auto"/>
        <w:jc w:val="both"/>
        <w:rPr>
          <w:rFonts w:ascii="Rubik" w:eastAsia="SimSun" w:hAnsi="Rubik" w:cs="Rubik"/>
          <w:color w:val="002060"/>
          <w:lang w:eastAsia="zh-CN"/>
        </w:rPr>
      </w:pPr>
      <w:r w:rsidRPr="000C4A84">
        <w:rPr>
          <w:rFonts w:ascii="Rubik" w:eastAsia="SimSun" w:hAnsi="Rubik" w:cs="Rubik"/>
          <w:color w:val="002060"/>
          <w:lang w:eastAsia="zh-CN"/>
        </w:rPr>
        <w:t>Director de Comunicación y Asuntos Públicos</w:t>
      </w:r>
    </w:p>
    <w:p w14:paraId="0E0E34F0" w14:textId="77777777" w:rsidR="000C4A84" w:rsidRPr="000C4A84" w:rsidRDefault="000C4A84" w:rsidP="000C4A84">
      <w:pPr>
        <w:spacing w:after="0" w:line="240" w:lineRule="auto"/>
        <w:jc w:val="both"/>
        <w:rPr>
          <w:rFonts w:ascii="Rubik" w:eastAsia="SimSun" w:hAnsi="Rubik" w:cs="Rubik"/>
          <w:lang w:eastAsia="zh-CN"/>
        </w:rPr>
      </w:pPr>
      <w:hyperlink r:id="rId12" w:history="1">
        <w:r w:rsidRPr="000C4A84">
          <w:rPr>
            <w:rStyle w:val="Hipervnculo"/>
            <w:rFonts w:ascii="Rubik" w:eastAsia="SimSun" w:hAnsi="Rubik" w:cs="Rubik"/>
            <w:lang w:eastAsia="zh-CN"/>
          </w:rPr>
          <w:t>jorge.oliva@es.lactalis.com</w:t>
        </w:r>
      </w:hyperlink>
    </w:p>
    <w:p w14:paraId="52119ABA" w14:textId="77777777" w:rsidR="000C4A84" w:rsidRPr="000C4A84" w:rsidRDefault="000C4A84" w:rsidP="000C4A84">
      <w:pPr>
        <w:spacing w:after="0" w:line="240" w:lineRule="auto"/>
        <w:jc w:val="both"/>
        <w:rPr>
          <w:rFonts w:ascii="Rubik" w:eastAsia="SimSun" w:hAnsi="Rubik" w:cs="Rubik"/>
          <w:color w:val="002060"/>
          <w:lang w:eastAsia="zh-CN"/>
        </w:rPr>
      </w:pPr>
      <w:r w:rsidRPr="000C4A84">
        <w:rPr>
          <w:rFonts w:ascii="Rubik" w:eastAsia="SimSun" w:hAnsi="Rubik" w:cs="Rubik"/>
          <w:color w:val="002060"/>
          <w:lang w:eastAsia="zh-CN"/>
        </w:rPr>
        <w:t>Tel. 689 381 234</w:t>
      </w:r>
    </w:p>
    <w:p w14:paraId="57AC02C4" w14:textId="77777777" w:rsidR="00AD5524" w:rsidRDefault="00AD5524"/>
    <w:sectPr w:rsidR="00AD552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017E" w14:textId="77777777" w:rsidR="005479CB" w:rsidRDefault="005479CB" w:rsidP="00B71B59">
      <w:pPr>
        <w:spacing w:after="0" w:line="240" w:lineRule="auto"/>
      </w:pPr>
      <w:r>
        <w:separator/>
      </w:r>
    </w:p>
  </w:endnote>
  <w:endnote w:type="continuationSeparator" w:id="0">
    <w:p w14:paraId="75DA1F30" w14:textId="77777777" w:rsidR="005479CB" w:rsidRDefault="005479CB" w:rsidP="00B7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587578"/>
      <w:docPartObj>
        <w:docPartGallery w:val="Page Numbers (Bottom of Page)"/>
        <w:docPartUnique/>
      </w:docPartObj>
    </w:sdtPr>
    <w:sdtContent>
      <w:p w14:paraId="7AC6F90D" w14:textId="1F478C2A" w:rsidR="00B71B59" w:rsidRDefault="00B71B59">
        <w:pPr>
          <w:pStyle w:val="Piedepgina"/>
          <w:jc w:val="right"/>
        </w:pPr>
        <w:r w:rsidRPr="00B71B59">
          <w:rPr>
            <w:rFonts w:ascii="Rubik" w:hAnsi="Rubik" w:cs="Rubik"/>
            <w:sz w:val="16"/>
            <w:szCs w:val="16"/>
          </w:rPr>
          <w:fldChar w:fldCharType="begin"/>
        </w:r>
        <w:r w:rsidRPr="00B71B59">
          <w:rPr>
            <w:rFonts w:ascii="Rubik" w:hAnsi="Rubik" w:cs="Rubik"/>
            <w:sz w:val="16"/>
            <w:szCs w:val="16"/>
          </w:rPr>
          <w:instrText>PAGE   \* MERGEFORMAT</w:instrText>
        </w:r>
        <w:r w:rsidRPr="00B71B59">
          <w:rPr>
            <w:rFonts w:ascii="Rubik" w:hAnsi="Rubik" w:cs="Rubik"/>
            <w:sz w:val="16"/>
            <w:szCs w:val="16"/>
          </w:rPr>
          <w:fldChar w:fldCharType="separate"/>
        </w:r>
        <w:r w:rsidRPr="00B71B59">
          <w:rPr>
            <w:rFonts w:ascii="Rubik" w:hAnsi="Rubik" w:cs="Rubik"/>
            <w:sz w:val="16"/>
            <w:szCs w:val="16"/>
            <w:lang w:val="fr-FR"/>
          </w:rPr>
          <w:t>2</w:t>
        </w:r>
        <w:r w:rsidRPr="00B71B59">
          <w:rPr>
            <w:rFonts w:ascii="Rubik" w:hAnsi="Rubik" w:cs="Rubik"/>
            <w:sz w:val="16"/>
            <w:szCs w:val="16"/>
          </w:rPr>
          <w:fldChar w:fldCharType="end"/>
        </w:r>
      </w:p>
    </w:sdtContent>
  </w:sdt>
  <w:p w14:paraId="1C108B41" w14:textId="77777777" w:rsidR="00B71B59" w:rsidRDefault="00B71B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B53CF" w14:textId="77777777" w:rsidR="005479CB" w:rsidRDefault="005479CB" w:rsidP="00B71B59">
      <w:pPr>
        <w:spacing w:after="0" w:line="240" w:lineRule="auto"/>
      </w:pPr>
      <w:r>
        <w:separator/>
      </w:r>
    </w:p>
  </w:footnote>
  <w:footnote w:type="continuationSeparator" w:id="0">
    <w:p w14:paraId="4AF1898A" w14:textId="77777777" w:rsidR="005479CB" w:rsidRDefault="005479CB" w:rsidP="00B71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5B17" w14:textId="336E9FFF" w:rsidR="5FADEA17" w:rsidRDefault="5FADEA17" w:rsidP="5FADEA17">
    <w:pPr>
      <w:pStyle w:val="Encabezado"/>
    </w:pPr>
    <w:r w:rsidRPr="5FADEA17">
      <w:rPr>
        <w:rFonts w:ascii="Rubik" w:hAnsi="Rubik" w:cs="Rubik"/>
        <w:b/>
        <w:bCs/>
        <w:color w:val="002060"/>
      </w:rPr>
      <w:t>LACTALIS NUTRICION IBERIA</w:t>
    </w:r>
  </w:p>
  <w:p w14:paraId="5D3D39C5" w14:textId="7AAA09A6" w:rsidR="00B71B59" w:rsidRPr="00C63339" w:rsidRDefault="00B71B59" w:rsidP="00C633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844FD"/>
    <w:multiLevelType w:val="multilevel"/>
    <w:tmpl w:val="A740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11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B59"/>
    <w:rsid w:val="000C4A84"/>
    <w:rsid w:val="00105552"/>
    <w:rsid w:val="0011059C"/>
    <w:rsid w:val="001C34D1"/>
    <w:rsid w:val="002226EB"/>
    <w:rsid w:val="002257E4"/>
    <w:rsid w:val="002A39E1"/>
    <w:rsid w:val="00305472"/>
    <w:rsid w:val="004439EB"/>
    <w:rsid w:val="004C3A03"/>
    <w:rsid w:val="005402F8"/>
    <w:rsid w:val="00546D56"/>
    <w:rsid w:val="005479CB"/>
    <w:rsid w:val="00594073"/>
    <w:rsid w:val="005973CA"/>
    <w:rsid w:val="00674E64"/>
    <w:rsid w:val="006A76F8"/>
    <w:rsid w:val="006D7266"/>
    <w:rsid w:val="00707D46"/>
    <w:rsid w:val="007B09CD"/>
    <w:rsid w:val="007C0FEE"/>
    <w:rsid w:val="008A711B"/>
    <w:rsid w:val="00976B2B"/>
    <w:rsid w:val="0098755D"/>
    <w:rsid w:val="009B4596"/>
    <w:rsid w:val="009E2797"/>
    <w:rsid w:val="009F3DBE"/>
    <w:rsid w:val="00A00C5D"/>
    <w:rsid w:val="00A25415"/>
    <w:rsid w:val="00A30472"/>
    <w:rsid w:val="00A63B89"/>
    <w:rsid w:val="00AA4D30"/>
    <w:rsid w:val="00AA742C"/>
    <w:rsid w:val="00AB0918"/>
    <w:rsid w:val="00AD5524"/>
    <w:rsid w:val="00B00D9E"/>
    <w:rsid w:val="00B12194"/>
    <w:rsid w:val="00B5667E"/>
    <w:rsid w:val="00B71B59"/>
    <w:rsid w:val="00B83666"/>
    <w:rsid w:val="00BB14B8"/>
    <w:rsid w:val="00BD463E"/>
    <w:rsid w:val="00C07CF1"/>
    <w:rsid w:val="00C63339"/>
    <w:rsid w:val="00C70368"/>
    <w:rsid w:val="00C87ACB"/>
    <w:rsid w:val="00CE7E84"/>
    <w:rsid w:val="00D74ABE"/>
    <w:rsid w:val="00DA6768"/>
    <w:rsid w:val="00DD6E19"/>
    <w:rsid w:val="00E317FF"/>
    <w:rsid w:val="00E70FB5"/>
    <w:rsid w:val="00F8333E"/>
    <w:rsid w:val="00FC2C40"/>
    <w:rsid w:val="00FD7CC9"/>
    <w:rsid w:val="01158AFA"/>
    <w:rsid w:val="07814016"/>
    <w:rsid w:val="11EDA873"/>
    <w:rsid w:val="14259A3A"/>
    <w:rsid w:val="1C61E88E"/>
    <w:rsid w:val="1FFBDCF2"/>
    <w:rsid w:val="2537C1C4"/>
    <w:rsid w:val="2C340F8F"/>
    <w:rsid w:val="3DF3F965"/>
    <w:rsid w:val="42DCA2AE"/>
    <w:rsid w:val="453F91DB"/>
    <w:rsid w:val="48A0ACA8"/>
    <w:rsid w:val="4CD881CD"/>
    <w:rsid w:val="4CE4B705"/>
    <w:rsid w:val="54DC48D9"/>
    <w:rsid w:val="562A498B"/>
    <w:rsid w:val="57AFB514"/>
    <w:rsid w:val="5C230CA7"/>
    <w:rsid w:val="5FADEA17"/>
    <w:rsid w:val="64E7F5C4"/>
    <w:rsid w:val="69FCA7D0"/>
    <w:rsid w:val="79682289"/>
    <w:rsid w:val="7E89B0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9144E"/>
  <w15:chartTrackingRefBased/>
  <w15:docId w15:val="{FB119E4C-95C5-4A0B-81E3-1FD07590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B59"/>
    <w:rPr>
      <w:lang w:val="es-ES"/>
    </w:rPr>
  </w:style>
  <w:style w:type="paragraph" w:styleId="Ttulo1">
    <w:name w:val="heading 1"/>
    <w:basedOn w:val="Normal"/>
    <w:next w:val="Normal"/>
    <w:link w:val="Ttulo1Car"/>
    <w:uiPriority w:val="9"/>
    <w:qFormat/>
    <w:rsid w:val="00B71B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71B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71B5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71B5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71B5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71B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1B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1B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1B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1B59"/>
    <w:rPr>
      <w:rFonts w:asciiTheme="majorHAnsi" w:eastAsiaTheme="majorEastAsia" w:hAnsiTheme="majorHAnsi" w:cstheme="majorBidi"/>
      <w:color w:val="2F5496" w:themeColor="accent1" w:themeShade="BF"/>
      <w:sz w:val="40"/>
      <w:szCs w:val="40"/>
      <w:lang w:val="en-US"/>
    </w:rPr>
  </w:style>
  <w:style w:type="character" w:customStyle="1" w:styleId="Ttulo2Car">
    <w:name w:val="Título 2 Car"/>
    <w:basedOn w:val="Fuentedeprrafopredeter"/>
    <w:link w:val="Ttulo2"/>
    <w:uiPriority w:val="9"/>
    <w:semiHidden/>
    <w:rsid w:val="00B71B59"/>
    <w:rPr>
      <w:rFonts w:asciiTheme="majorHAnsi" w:eastAsiaTheme="majorEastAsia" w:hAnsiTheme="majorHAnsi" w:cstheme="majorBidi"/>
      <w:color w:val="2F5496" w:themeColor="accent1" w:themeShade="BF"/>
      <w:sz w:val="32"/>
      <w:szCs w:val="32"/>
      <w:lang w:val="en-US"/>
    </w:rPr>
  </w:style>
  <w:style w:type="character" w:customStyle="1" w:styleId="Ttulo3Car">
    <w:name w:val="Título 3 Car"/>
    <w:basedOn w:val="Fuentedeprrafopredeter"/>
    <w:link w:val="Ttulo3"/>
    <w:uiPriority w:val="9"/>
    <w:semiHidden/>
    <w:rsid w:val="00B71B59"/>
    <w:rPr>
      <w:rFonts w:eastAsiaTheme="majorEastAsia" w:cstheme="majorBidi"/>
      <w:color w:val="2F5496" w:themeColor="accent1" w:themeShade="BF"/>
      <w:sz w:val="28"/>
      <w:szCs w:val="28"/>
      <w:lang w:val="en-US"/>
    </w:rPr>
  </w:style>
  <w:style w:type="character" w:customStyle="1" w:styleId="Ttulo4Car">
    <w:name w:val="Título 4 Car"/>
    <w:basedOn w:val="Fuentedeprrafopredeter"/>
    <w:link w:val="Ttulo4"/>
    <w:uiPriority w:val="9"/>
    <w:semiHidden/>
    <w:rsid w:val="00B71B59"/>
    <w:rPr>
      <w:rFonts w:eastAsiaTheme="majorEastAsia" w:cstheme="majorBidi"/>
      <w:i/>
      <w:iCs/>
      <w:color w:val="2F5496" w:themeColor="accent1" w:themeShade="BF"/>
      <w:lang w:val="en-US"/>
    </w:rPr>
  </w:style>
  <w:style w:type="character" w:customStyle="1" w:styleId="Ttulo5Car">
    <w:name w:val="Título 5 Car"/>
    <w:basedOn w:val="Fuentedeprrafopredeter"/>
    <w:link w:val="Ttulo5"/>
    <w:uiPriority w:val="9"/>
    <w:semiHidden/>
    <w:rsid w:val="00B71B59"/>
    <w:rPr>
      <w:rFonts w:eastAsiaTheme="majorEastAsia" w:cstheme="majorBidi"/>
      <w:color w:val="2F5496" w:themeColor="accent1" w:themeShade="BF"/>
      <w:lang w:val="en-US"/>
    </w:rPr>
  </w:style>
  <w:style w:type="character" w:customStyle="1" w:styleId="Ttulo6Car">
    <w:name w:val="Título 6 Car"/>
    <w:basedOn w:val="Fuentedeprrafopredeter"/>
    <w:link w:val="Ttulo6"/>
    <w:uiPriority w:val="9"/>
    <w:semiHidden/>
    <w:rsid w:val="00B71B59"/>
    <w:rPr>
      <w:rFonts w:eastAsiaTheme="majorEastAsia" w:cstheme="majorBidi"/>
      <w:i/>
      <w:iCs/>
      <w:color w:val="595959" w:themeColor="text1" w:themeTint="A6"/>
      <w:lang w:val="en-US"/>
    </w:rPr>
  </w:style>
  <w:style w:type="character" w:customStyle="1" w:styleId="Ttulo7Car">
    <w:name w:val="Título 7 Car"/>
    <w:basedOn w:val="Fuentedeprrafopredeter"/>
    <w:link w:val="Ttulo7"/>
    <w:uiPriority w:val="9"/>
    <w:semiHidden/>
    <w:rsid w:val="00B71B59"/>
    <w:rPr>
      <w:rFonts w:eastAsiaTheme="majorEastAsia" w:cstheme="majorBidi"/>
      <w:color w:val="595959" w:themeColor="text1" w:themeTint="A6"/>
      <w:lang w:val="en-US"/>
    </w:rPr>
  </w:style>
  <w:style w:type="character" w:customStyle="1" w:styleId="Ttulo8Car">
    <w:name w:val="Título 8 Car"/>
    <w:basedOn w:val="Fuentedeprrafopredeter"/>
    <w:link w:val="Ttulo8"/>
    <w:uiPriority w:val="9"/>
    <w:semiHidden/>
    <w:rsid w:val="00B71B59"/>
    <w:rPr>
      <w:rFonts w:eastAsiaTheme="majorEastAsia" w:cstheme="majorBidi"/>
      <w:i/>
      <w:iCs/>
      <w:color w:val="272727" w:themeColor="text1" w:themeTint="D8"/>
      <w:lang w:val="en-US"/>
    </w:rPr>
  </w:style>
  <w:style w:type="character" w:customStyle="1" w:styleId="Ttulo9Car">
    <w:name w:val="Título 9 Car"/>
    <w:basedOn w:val="Fuentedeprrafopredeter"/>
    <w:link w:val="Ttulo9"/>
    <w:uiPriority w:val="9"/>
    <w:semiHidden/>
    <w:rsid w:val="00B71B59"/>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B71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1B59"/>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ar"/>
    <w:uiPriority w:val="11"/>
    <w:qFormat/>
    <w:rsid w:val="00B71B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1B59"/>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B71B59"/>
    <w:pPr>
      <w:spacing w:before="160"/>
      <w:jc w:val="center"/>
    </w:pPr>
    <w:rPr>
      <w:i/>
      <w:iCs/>
      <w:color w:val="404040" w:themeColor="text1" w:themeTint="BF"/>
    </w:rPr>
  </w:style>
  <w:style w:type="character" w:customStyle="1" w:styleId="CitaCar">
    <w:name w:val="Cita Car"/>
    <w:basedOn w:val="Fuentedeprrafopredeter"/>
    <w:link w:val="Cita"/>
    <w:uiPriority w:val="29"/>
    <w:rsid w:val="00B71B59"/>
    <w:rPr>
      <w:i/>
      <w:iCs/>
      <w:color w:val="404040" w:themeColor="text1" w:themeTint="BF"/>
      <w:lang w:val="en-US"/>
    </w:rPr>
  </w:style>
  <w:style w:type="paragraph" w:styleId="Prrafodelista">
    <w:name w:val="List Paragraph"/>
    <w:basedOn w:val="Normal"/>
    <w:uiPriority w:val="34"/>
    <w:qFormat/>
    <w:rsid w:val="00B71B59"/>
    <w:pPr>
      <w:ind w:left="720"/>
      <w:contextualSpacing/>
    </w:pPr>
  </w:style>
  <w:style w:type="character" w:styleId="nfasisintenso">
    <w:name w:val="Intense Emphasis"/>
    <w:basedOn w:val="Fuentedeprrafopredeter"/>
    <w:uiPriority w:val="21"/>
    <w:qFormat/>
    <w:rsid w:val="00B71B59"/>
    <w:rPr>
      <w:i/>
      <w:iCs/>
      <w:color w:val="2F5496" w:themeColor="accent1" w:themeShade="BF"/>
    </w:rPr>
  </w:style>
  <w:style w:type="paragraph" w:styleId="Citadestacada">
    <w:name w:val="Intense Quote"/>
    <w:basedOn w:val="Normal"/>
    <w:next w:val="Normal"/>
    <w:link w:val="CitadestacadaCar"/>
    <w:uiPriority w:val="30"/>
    <w:qFormat/>
    <w:rsid w:val="00B71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71B59"/>
    <w:rPr>
      <w:i/>
      <w:iCs/>
      <w:color w:val="2F5496" w:themeColor="accent1" w:themeShade="BF"/>
      <w:lang w:val="en-US"/>
    </w:rPr>
  </w:style>
  <w:style w:type="character" w:styleId="Referenciaintensa">
    <w:name w:val="Intense Reference"/>
    <w:basedOn w:val="Fuentedeprrafopredeter"/>
    <w:uiPriority w:val="32"/>
    <w:qFormat/>
    <w:rsid w:val="00B71B59"/>
    <w:rPr>
      <w:b/>
      <w:bCs/>
      <w:smallCaps/>
      <w:color w:val="2F5496" w:themeColor="accent1" w:themeShade="BF"/>
      <w:spacing w:val="5"/>
    </w:rPr>
  </w:style>
  <w:style w:type="character" w:styleId="Refdecomentario">
    <w:name w:val="annotation reference"/>
    <w:basedOn w:val="Fuentedeprrafopredeter"/>
    <w:uiPriority w:val="99"/>
    <w:semiHidden/>
    <w:unhideWhenUsed/>
    <w:rsid w:val="00B71B59"/>
    <w:rPr>
      <w:sz w:val="16"/>
      <w:szCs w:val="16"/>
    </w:rPr>
  </w:style>
  <w:style w:type="paragraph" w:styleId="Textocomentario">
    <w:name w:val="annotation text"/>
    <w:basedOn w:val="Normal"/>
    <w:link w:val="TextocomentarioCar"/>
    <w:uiPriority w:val="99"/>
    <w:unhideWhenUsed/>
    <w:rsid w:val="00B71B59"/>
    <w:pPr>
      <w:spacing w:line="240" w:lineRule="auto"/>
    </w:pPr>
    <w:rPr>
      <w:sz w:val="20"/>
      <w:szCs w:val="20"/>
    </w:rPr>
  </w:style>
  <w:style w:type="character" w:customStyle="1" w:styleId="TextocomentarioCar">
    <w:name w:val="Texto comentario Car"/>
    <w:basedOn w:val="Fuentedeprrafopredeter"/>
    <w:link w:val="Textocomentario"/>
    <w:uiPriority w:val="99"/>
    <w:rsid w:val="00B71B59"/>
    <w:rPr>
      <w:sz w:val="20"/>
      <w:szCs w:val="20"/>
      <w:lang w:val="en-US"/>
    </w:rPr>
  </w:style>
  <w:style w:type="table" w:styleId="Tablaconcuadrcula">
    <w:name w:val="Table Grid"/>
    <w:basedOn w:val="Tablanormal"/>
    <w:uiPriority w:val="39"/>
    <w:rsid w:val="00B71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71B5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B71B59"/>
    <w:rPr>
      <w:lang w:val="es-ES"/>
    </w:rPr>
  </w:style>
  <w:style w:type="paragraph" w:styleId="Piedepgina">
    <w:name w:val="footer"/>
    <w:basedOn w:val="Normal"/>
    <w:link w:val="PiedepginaCar"/>
    <w:uiPriority w:val="99"/>
    <w:unhideWhenUsed/>
    <w:rsid w:val="00B71B5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B71B59"/>
    <w:rPr>
      <w:lang w:val="es-ES"/>
    </w:rPr>
  </w:style>
  <w:style w:type="paragraph" w:styleId="Asuntodelcomentario">
    <w:name w:val="annotation subject"/>
    <w:basedOn w:val="Textocomentario"/>
    <w:next w:val="Textocomentario"/>
    <w:link w:val="AsuntodelcomentarioCar"/>
    <w:uiPriority w:val="99"/>
    <w:semiHidden/>
    <w:unhideWhenUsed/>
    <w:rsid w:val="00FC2C40"/>
    <w:rPr>
      <w:b/>
      <w:bCs/>
    </w:rPr>
  </w:style>
  <w:style w:type="character" w:customStyle="1" w:styleId="AsuntodelcomentarioCar">
    <w:name w:val="Asunto del comentario Car"/>
    <w:basedOn w:val="TextocomentarioCar"/>
    <w:link w:val="Asuntodelcomentario"/>
    <w:uiPriority w:val="99"/>
    <w:semiHidden/>
    <w:rsid w:val="00FC2C40"/>
    <w:rPr>
      <w:b/>
      <w:bCs/>
      <w:sz w:val="20"/>
      <w:szCs w:val="20"/>
      <w:lang w:val="es-ES"/>
    </w:rPr>
  </w:style>
  <w:style w:type="character" w:styleId="Hipervnculo">
    <w:name w:val="Hyperlink"/>
    <w:rsid w:val="000C4A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rge.oliva@es.lactali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711425-f0dd-4f39-83c8-4cc1f535b9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9142052C2CE44D8C8520BD47EF584F" ma:contentTypeVersion="9" ma:contentTypeDescription="Crée un document." ma:contentTypeScope="" ma:versionID="b5cd839e7c48839d7604f4f37f723093">
  <xsd:schema xmlns:xsd="http://www.w3.org/2001/XMLSchema" xmlns:xs="http://www.w3.org/2001/XMLSchema" xmlns:p="http://schemas.microsoft.com/office/2006/metadata/properties" xmlns:ns2="dd711425-f0dd-4f39-83c8-4cc1f535b91a" targetNamespace="http://schemas.microsoft.com/office/2006/metadata/properties" ma:root="true" ma:fieldsID="0c92c6d121e4785557a52a06cac4745e" ns2:_="">
    <xsd:import namespace="dd711425-f0dd-4f39-83c8-4cc1f535b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11425-f0dd-4f39-83c8-4cc1f535b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aff396b-27bd-4055-9767-7246aec6e8c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DDB62-744C-40F7-8284-AB49FBF5729B}">
  <ds:schemaRefs>
    <ds:schemaRef ds:uri="http://schemas.microsoft.com/sharepoint/v3/contenttype/forms"/>
  </ds:schemaRefs>
</ds:datastoreItem>
</file>

<file path=customXml/itemProps2.xml><?xml version="1.0" encoding="utf-8"?>
<ds:datastoreItem xmlns:ds="http://schemas.openxmlformats.org/officeDocument/2006/customXml" ds:itemID="{6F970FEB-6DF6-4121-AB88-73F63D3AABC0}">
  <ds:schemaRefs>
    <ds:schemaRef ds:uri="http://schemas.microsoft.com/office/2006/metadata/properties"/>
    <ds:schemaRef ds:uri="http://schemas.microsoft.com/office/infopath/2007/PartnerControls"/>
    <ds:schemaRef ds:uri="dd711425-f0dd-4f39-83c8-4cc1f535b91a"/>
  </ds:schemaRefs>
</ds:datastoreItem>
</file>

<file path=customXml/itemProps3.xml><?xml version="1.0" encoding="utf-8"?>
<ds:datastoreItem xmlns:ds="http://schemas.openxmlformats.org/officeDocument/2006/customXml" ds:itemID="{081ADFF3-D413-4862-8399-CACAB15D4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11425-f0dd-4f39-83c8-4cc1f535b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470</Words>
  <Characters>2686</Characters>
  <Application>Microsoft Office Word</Application>
  <DocSecurity>4</DocSecurity>
  <Lines>68</Lines>
  <Paragraphs>40</Paragraphs>
  <ScaleCrop>false</ScaleCrop>
  <Company/>
  <LinksUpToDate>false</LinksUpToDate>
  <CharactersWithSpaces>3116</CharactersWithSpaces>
  <SharedDoc>false</SharedDoc>
  <HLinks>
    <vt:vector size="6" baseType="variant">
      <vt:variant>
        <vt:i4>3604483</vt:i4>
      </vt:variant>
      <vt:variant>
        <vt:i4>0</vt:i4>
      </vt:variant>
      <vt:variant>
        <vt:i4>0</vt:i4>
      </vt:variant>
      <vt:variant>
        <vt:i4>5</vt:i4>
      </vt:variant>
      <vt:variant>
        <vt:lpwstr>mailto:jorge.oliva@es.lactalis.com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VICKERY Alexandra</dc:creator>
  <cp:keywords/>
  <dc:description/>
  <cp:lastModifiedBy>Beaucreux, Marylise</cp:lastModifiedBy>
  <cp:revision>15</cp:revision>
  <dcterms:created xsi:type="dcterms:W3CDTF">2026-01-21T02:10:00Z</dcterms:created>
  <dcterms:modified xsi:type="dcterms:W3CDTF">2026-01-21T09:26:00Z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0x010100EE9142052C2CE44D8C8520BD47EF584F</vt:lpwstr>
  </property>
  <property fmtid="{D5CDD505-2E9C-101B-9397-08002B2CF9AE}" pid="3" name="MediaServiceImageTags">
    <vt:lpwstr/>
  </property>
</Properties>
</file>