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Grupo Dia refuerza su Consejo de Administración</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color w:val="e30513"/>
          <w:sz w:val="20"/>
          <w:szCs w:val="20"/>
          <w:rtl w:val="0"/>
        </w:rPr>
        <w:t xml:space="preserve">/ </w:t>
      </w:r>
      <w:r w:rsidDel="00000000" w:rsidR="00000000" w:rsidRPr="00000000">
        <w:rPr>
          <w:rFonts w:ascii="Montserrat" w:cs="Montserrat" w:eastAsia="Montserrat" w:hAnsi="Montserrat"/>
          <w:b w:val="1"/>
          <w:bCs w:val="1"/>
          <w:i w:val="1"/>
          <w:iCs w:val="1"/>
          <w:sz w:val="20"/>
          <w:szCs w:val="20"/>
          <w:rtl w:val="0"/>
        </w:rPr>
        <w:t xml:space="preserve">Benjamin J. Babcock vuelve a asumir el cargo de presidente no ejecutivo de Dia, garantizando la continuidad de liderazgo del Consejo, cargo que ya ocupó entre septiembre de 2023 y junio de 2025.</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color w:val="e30513"/>
          <w:sz w:val="20"/>
          <w:szCs w:val="20"/>
          <w:rtl w:val="0"/>
        </w:rPr>
        <w:t xml:space="preserve">/ </w:t>
      </w:r>
      <w:r w:rsidDel="00000000" w:rsidR="00000000" w:rsidRPr="00000000">
        <w:rPr>
          <w:rFonts w:ascii="Montserrat" w:cs="Montserrat" w:eastAsia="Montserrat" w:hAnsi="Montserrat"/>
          <w:b w:val="1"/>
          <w:bCs w:val="1"/>
          <w:i w:val="1"/>
          <w:iCs w:val="1"/>
          <w:sz w:val="20"/>
          <w:szCs w:val="20"/>
          <w:rtl w:val="0"/>
        </w:rPr>
        <w:t xml:space="preserve">Luisa Delgado es nombrada vicepresidenta del Consejo de Administración y Consejera Coordinadora de Independientes, dos nuevos cargos creados para reforzar las mejores prácticas de gobierno corporativo.</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color w:val="e30513"/>
          <w:sz w:val="20"/>
          <w:szCs w:val="20"/>
          <w:rtl w:val="0"/>
        </w:rPr>
        <w:t xml:space="preserve">/ </w:t>
      </w:r>
      <w:r w:rsidDel="00000000" w:rsidR="00000000" w:rsidRPr="00000000">
        <w:rPr>
          <w:rFonts w:ascii="Montserrat" w:cs="Montserrat" w:eastAsia="Montserrat" w:hAnsi="Montserrat"/>
          <w:b w:val="1"/>
          <w:bCs w:val="1"/>
          <w:i w:val="1"/>
          <w:iCs w:val="1"/>
          <w:sz w:val="20"/>
          <w:szCs w:val="20"/>
          <w:rtl w:val="0"/>
        </w:rPr>
        <w:t xml:space="preserve">Mar Gallardo Mateo se incorpora al Consejo de Administración por cooptación como consejera independiente y pasa a formar parte de la Comisión de Auditoría y Cumplimiento.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i w:val="1"/>
          <w:iCs w:val="1"/>
          <w:color w:val="222222"/>
          <w:sz w:val="20"/>
          <w:szCs w:val="20"/>
        </w:rPr>
      </w:pPr>
      <w:r w:rsidDel="00000000" w:rsidR="00000000" w:rsidRPr="00000000">
        <w:rPr>
          <w:rFonts w:ascii="Montserrat" w:cs="Montserrat" w:eastAsia="Montserrat" w:hAnsi="Montserrat"/>
          <w:b w:val="1"/>
          <w:bCs w:val="1"/>
          <w:i w:val="1"/>
          <w:iCs w:val="1"/>
          <w:color w:val="e30513"/>
          <w:sz w:val="20"/>
          <w:szCs w:val="20"/>
          <w:rtl w:val="0"/>
        </w:rPr>
        <w:t xml:space="preserve">/ </w:t>
      </w:r>
      <w:r w:rsidDel="00000000" w:rsidR="00000000" w:rsidRPr="00000000">
        <w:rPr>
          <w:rFonts w:ascii="Montserrat" w:cs="Montserrat" w:eastAsia="Montserrat" w:hAnsi="Montserrat"/>
          <w:b w:val="1"/>
          <w:bCs w:val="1"/>
          <w:i w:val="1"/>
          <w:iCs w:val="1"/>
          <w:color w:val="000000"/>
          <w:sz w:val="20"/>
          <w:szCs w:val="20"/>
          <w:rtl w:val="0"/>
        </w:rPr>
        <w:t xml:space="preserve">Los cambios refuerzan el gobierno independiente de Dia, con un solo consejero dominical de un total de 10 miembros, un 60% de representación femenina y Comisiones compuest</w:t>
      </w:r>
      <w:r w:rsidDel="00000000" w:rsidR="00000000" w:rsidRPr="00000000">
        <w:rPr>
          <w:rFonts w:ascii="Montserrat" w:cs="Montserrat" w:eastAsia="Montserrat" w:hAnsi="Montserrat"/>
          <w:b w:val="1"/>
          <w:bCs w:val="1"/>
          <w:i w:val="1"/>
          <w:iCs w:val="1"/>
          <w:sz w:val="20"/>
          <w:szCs w:val="20"/>
          <w:rtl w:val="0"/>
        </w:rPr>
        <w:t xml:space="preserve">a</w:t>
      </w:r>
      <w:r w:rsidDel="00000000" w:rsidR="00000000" w:rsidRPr="00000000">
        <w:rPr>
          <w:rFonts w:ascii="Montserrat" w:cs="Montserrat" w:eastAsia="Montserrat" w:hAnsi="Montserrat"/>
          <w:b w:val="1"/>
          <w:bCs w:val="1"/>
          <w:i w:val="1"/>
          <w:iCs w:val="1"/>
          <w:color w:val="000000"/>
          <w:sz w:val="20"/>
          <w:szCs w:val="20"/>
          <w:rtl w:val="0"/>
        </w:rPr>
        <w:t xml:space="preserve">s en su totalidad por consejeros independientes a partir de abril de 2026.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Madrid, 22 de enero de 2026.–</w:t>
      </w:r>
      <w:r w:rsidDel="00000000" w:rsidR="00000000" w:rsidRPr="00000000">
        <w:rPr>
          <w:rFonts w:ascii="Montserrat" w:cs="Montserrat" w:eastAsia="Montserrat" w:hAnsi="Montserrat"/>
          <w:b w:val="0"/>
          <w:bCs w:val="0"/>
          <w:i w:val="0"/>
          <w:iCs w:val="0"/>
          <w:smallCaps w:val="0"/>
          <w:strike w:val="0"/>
          <w:color w:val="222222"/>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Alberto Gavazzi</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ha comunicado su dimisión como presidente y miembro del Consejo de Administración de Dia debido a la finalización de su relación profesional con el Grupo LetterOne. Esta dimisión será efectiva tras la reunión del Consejo de Administración prevista para el 25 de febrero de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Dentro de este contexto y con el objetivo de reforzar sus mejores prácticas de gobierno corporativo líderes en el mercado, la independencia y la diversidad dentro de su órgano de gobierno,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Grupo Dia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ha anunciado cambios en la composición de su Consejo de Administración y de sus Comisio</w:t>
      </w:r>
      <w:r w:rsidDel="00000000" w:rsidR="00000000" w:rsidRPr="00000000">
        <w:rPr>
          <w:rFonts w:ascii="Montserrat" w:cs="Montserrat" w:eastAsia="Montserrat" w:hAnsi="Montserrat"/>
          <w:sz w:val="20"/>
          <w:szCs w:val="20"/>
          <w:rtl w:val="0"/>
        </w:rPr>
        <w:t xml:space="preserve">nes</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spacing w:after="280" w:before="28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Consejo de Administración ha acordado nombrar a </w:t>
      </w:r>
      <w:r w:rsidDel="00000000" w:rsidR="00000000" w:rsidRPr="00000000">
        <w:rPr>
          <w:rFonts w:ascii="Montserrat" w:cs="Montserrat" w:eastAsia="Montserrat" w:hAnsi="Montserrat"/>
          <w:b w:val="1"/>
          <w:bCs w:val="1"/>
          <w:sz w:val="20"/>
          <w:szCs w:val="20"/>
          <w:rtl w:val="0"/>
        </w:rPr>
        <w:t xml:space="preserve">Benjamin J. Babcock</w:t>
      </w:r>
      <w:r w:rsidDel="00000000" w:rsidR="00000000" w:rsidRPr="00000000">
        <w:rPr>
          <w:rFonts w:ascii="Montserrat" w:cs="Montserrat" w:eastAsia="Montserrat" w:hAnsi="Montserrat"/>
          <w:sz w:val="20"/>
          <w:szCs w:val="20"/>
          <w:rtl w:val="0"/>
        </w:rPr>
        <w:t xml:space="preserve"> presidente no ejecutivo de Dia. Su nombramiento proporciona continuidad al liderazgo del órgano de administración y será efectivo tras la dimisión del Sr. Gavazzi. El Sr. Babcock, consejero dominical, ocupó anteriormente este cargo desde septiembre de 2023 a junio de 2025, periodo durante el cual presidió el Consejo de Administración liderando la reorientación estratégica de la empresa, su reestructuración operativa y la refinanciación completada en diciembre de 2024. </w:t>
      </w:r>
    </w:p>
    <w:p w:rsidR="00000000" w:rsidDel="00000000" w:rsidP="00000000" w:rsidRDefault="00000000" w:rsidRPr="00000000" w14:paraId="0000000A">
      <w:pPr>
        <w:spacing w:after="280" w:before="28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Babcock declaró: </w:t>
      </w:r>
      <w:r w:rsidDel="00000000" w:rsidR="00000000" w:rsidRPr="00000000">
        <w:rPr>
          <w:rFonts w:ascii="Montserrat" w:cs="Montserrat" w:eastAsia="Montserrat" w:hAnsi="Montserrat"/>
          <w:i w:val="1"/>
          <w:iCs w:val="1"/>
          <w:sz w:val="20"/>
          <w:szCs w:val="20"/>
          <w:rtl w:val="0"/>
        </w:rPr>
        <w:t xml:space="preserve">“Asumo esta responsabilidad con el firme compromiso con la estrategia a largo plazo de Dia. La empresa tiene un propósito claro, un sólido impulso del negocio, un equipo directivo sobresaliente y un Consejo de Administración fuerte e independiente, todo ello plenamente alineado para crear valor sostenible a largo plazo para nuestros accionistas y grupos de interés. Agradezco a Alberto su importante contribución al desarrollo de la estrategia de Dia y su liderazgo en el Consejo. Le deseamos lo mejor en sus futuros proyectos”</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B">
      <w:pPr>
        <w:spacing w:after="280" w:before="28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Consejo de Administración ha nombrado a </w:t>
      </w:r>
      <w:r w:rsidDel="00000000" w:rsidR="00000000" w:rsidRPr="00000000">
        <w:rPr>
          <w:rFonts w:ascii="Montserrat" w:cs="Montserrat" w:eastAsia="Montserrat" w:hAnsi="Montserrat"/>
          <w:b w:val="1"/>
          <w:bCs w:val="1"/>
          <w:sz w:val="20"/>
          <w:szCs w:val="20"/>
          <w:rtl w:val="0"/>
        </w:rPr>
        <w:t xml:space="preserve">Luisa Delgado</w:t>
      </w:r>
      <w:r w:rsidDel="00000000" w:rsidR="00000000" w:rsidRPr="00000000">
        <w:rPr>
          <w:rFonts w:ascii="Montserrat" w:cs="Montserrat" w:eastAsia="Montserrat" w:hAnsi="Montserrat"/>
          <w:sz w:val="20"/>
          <w:szCs w:val="20"/>
          <w:rtl w:val="0"/>
        </w:rPr>
        <w:t xml:space="preserve"> vicepresidenta del Consejo de Administración y Consejera </w:t>
      </w:r>
      <w:r w:rsidDel="00000000" w:rsidR="00000000" w:rsidRPr="00000000">
        <w:rPr>
          <w:rFonts w:ascii="Montserrat" w:cs="Montserrat" w:eastAsia="Montserrat" w:hAnsi="Montserrat"/>
          <w:i w:val="1"/>
          <w:iCs w:val="1"/>
          <w:sz w:val="20"/>
          <w:szCs w:val="20"/>
          <w:rtl w:val="0"/>
        </w:rPr>
        <w:t xml:space="preserve">Coordinadora de Independientes</w:t>
      </w:r>
      <w:r w:rsidDel="00000000" w:rsidR="00000000" w:rsidRPr="00000000">
        <w:rPr>
          <w:rFonts w:ascii="Montserrat" w:cs="Montserrat" w:eastAsia="Montserrat" w:hAnsi="Montserrat"/>
          <w:sz w:val="20"/>
          <w:szCs w:val="20"/>
          <w:rtl w:val="0"/>
        </w:rPr>
        <w:t xml:space="preserve">, dos nuevos cargos creados para reforzar la supervisión estratégica y la importancia de un gobierno independiente. Ya ocupó un cargo similar cuando fue nombrada </w:t>
      </w:r>
      <w:r w:rsidDel="00000000" w:rsidR="00000000" w:rsidRPr="00000000">
        <w:rPr>
          <w:rFonts w:ascii="Montserrat" w:cs="Montserrat" w:eastAsia="Montserrat" w:hAnsi="Montserrat"/>
          <w:i w:val="1"/>
          <w:iCs w:val="1"/>
          <w:sz w:val="20"/>
          <w:szCs w:val="20"/>
          <w:rtl w:val="0"/>
        </w:rPr>
        <w:t xml:space="preserve">Consejera Coordinadora </w:t>
      </w:r>
      <w:r w:rsidDel="00000000" w:rsidR="00000000" w:rsidRPr="00000000">
        <w:rPr>
          <w:rFonts w:ascii="Montserrat" w:cs="Montserrat" w:eastAsia="Montserrat" w:hAnsi="Montserrat"/>
          <w:sz w:val="20"/>
          <w:szCs w:val="20"/>
          <w:rtl w:val="0"/>
        </w:rPr>
        <w:t xml:space="preserve">desde el 1 de noviembre de 2021 al 30 de agosto de 2022, en un momento en que dicho cargo se requirió de conformidad con la legislación aplicable ya que el presidente del Consejo de Administración en ese momento era un consejero ejecutivo. Como vicepresidenta, la Sra. Delgado asistirá al presidente en el desarrollo a largo plazo del negocio, su modelo de gobierno y la cultura corporativa. Como Consejera Coordinadora de Independientes, contribuirá a reforzar la voz, la coordinación y la representación de los consejeros independientes, en línea con las mejores prácticas de gobierno corporativo.</w:t>
      </w:r>
    </w:p>
    <w:p w:rsidR="00000000" w:rsidDel="00000000" w:rsidP="00000000" w:rsidRDefault="00000000" w:rsidRPr="00000000" w14:paraId="0000000C">
      <w:pPr>
        <w:spacing w:after="280" w:before="28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Paralelamente, el Consejo ha aprobado el nombramiento por cooptación de </w:t>
      </w:r>
      <w:r w:rsidDel="00000000" w:rsidR="00000000" w:rsidRPr="00000000">
        <w:rPr>
          <w:rFonts w:ascii="Montserrat" w:cs="Montserrat" w:eastAsia="Montserrat" w:hAnsi="Montserrat"/>
          <w:b w:val="1"/>
          <w:bCs w:val="1"/>
          <w:sz w:val="20"/>
          <w:szCs w:val="20"/>
          <w:rtl w:val="0"/>
        </w:rPr>
        <w:t xml:space="preserve">Mar Gallardo Mateo</w:t>
      </w:r>
      <w:r w:rsidDel="00000000" w:rsidR="00000000" w:rsidRPr="00000000">
        <w:rPr>
          <w:rFonts w:ascii="Montserrat" w:cs="Montserrat" w:eastAsia="Montserrat" w:hAnsi="Montserrat"/>
          <w:sz w:val="20"/>
          <w:szCs w:val="20"/>
          <w:rtl w:val="0"/>
        </w:rPr>
        <w:t xml:space="preserve"> como nueva consejera independiente, cubriendo la vacante resultante de la dimisión de Alberto Gavazzi. Este nombramiento será efectivo tras la reunión del Consejo de Administración de febrero.</w:t>
      </w:r>
    </w:p>
    <w:p w:rsidR="00000000" w:rsidDel="00000000" w:rsidP="00000000" w:rsidRDefault="00000000" w:rsidRPr="00000000" w14:paraId="0000000D">
      <w:pPr>
        <w:spacing w:after="280" w:before="28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Gallardo fue seleccionada mediante un riguroso y profesional proceso de selección llevado a cabo con el apoyo de una empresa externa independiente de búsqueda de ejecutivos, todo ello con ánimo de asegurar una evaluación objetiva de los candidatos basada en sus méritos, experiencia y adecuación a las necesidades estratégicas y los estándares de gobierno de Dia actuales.</w:t>
      </w:r>
    </w:p>
    <w:p w:rsidR="00000000" w:rsidDel="00000000" w:rsidP="00000000" w:rsidRDefault="00000000" w:rsidRPr="00000000" w14:paraId="0000000E">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Mar Gallardo es una profesional con más de tres décadas de experiencia en auditoría, gobierno corporativo y finanzas. Ha sido socia de auditoría y miembro del Comité de Dirección de PwC España. Además, dirigió el sector minorista y de consumo en PwC y tiene una amplia experiencia como consejera independiente. Es presidenta de comisiones de auditoría en varias empresas así como presidenta del Consejo de Nationale-Nederlanden España. Su perfil combina una profunda experiencia técnica y una visión estratégica, lo que la convierte en una profesional altamente cualificada para asumir responsabilidades en el Consejo de Administración y en la Comisión de Auditoría y Cumplimiento de Dia. </w:t>
      </w:r>
    </w:p>
    <w:p w:rsidR="00000000" w:rsidDel="00000000" w:rsidP="00000000" w:rsidRDefault="00000000" w:rsidRPr="00000000" w14:paraId="0000000F">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Este nombramiento refuerza la independencia y la diversidad del Consejo. Gallardo se incorpora como miembro de la Comisión de Auditoría y Cumplimiento, aumentando el número de sus miembros de cuatro a cinco. Este nombramiento se realiza con vistas a que pueda potencialmente sustituir a </w:t>
      </w:r>
      <w:r w:rsidDel="00000000" w:rsidR="00000000" w:rsidRPr="00000000">
        <w:rPr>
          <w:rFonts w:ascii="Montserrat" w:cs="Montserrat" w:eastAsia="Montserrat" w:hAnsi="Montserrat"/>
          <w:b w:val="1"/>
          <w:bCs w:val="1"/>
          <w:sz w:val="20"/>
          <w:szCs w:val="20"/>
          <w:rtl w:val="0"/>
        </w:rPr>
        <w:t xml:space="preserve">Gloria Hernández</w:t>
      </w:r>
      <w:r w:rsidDel="00000000" w:rsidR="00000000" w:rsidRPr="00000000">
        <w:rPr>
          <w:rFonts w:ascii="Montserrat" w:cs="Montserrat" w:eastAsia="Montserrat" w:hAnsi="Montserrat"/>
          <w:sz w:val="20"/>
          <w:szCs w:val="20"/>
          <w:rtl w:val="0"/>
        </w:rPr>
        <w:t xml:space="preserve"> como presidenta de la mencionada comisión en febrero de 2027, cuando finalice su mandato, toda vez que se adopten los acuerdos pertinentes llegado el momento. Se prevé que la Sra. Hernández continúe como miembro de la Comisión de Auditoría y Cumplimiento tras la finalización de su mandato como presidenta.</w:t>
      </w:r>
    </w:p>
    <w:p w:rsidR="00000000" w:rsidDel="00000000" w:rsidP="00000000" w:rsidRDefault="00000000" w:rsidRPr="00000000" w14:paraId="00000011">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Además, el Consejo de Administración ha acordado la reclasificación de </w:t>
      </w:r>
      <w:r w:rsidDel="00000000" w:rsidR="00000000" w:rsidRPr="00000000">
        <w:rPr>
          <w:rFonts w:ascii="Montserrat" w:cs="Montserrat" w:eastAsia="Montserrat" w:hAnsi="Montserrat"/>
          <w:b w:val="1"/>
          <w:bCs w:val="1"/>
          <w:sz w:val="20"/>
          <w:szCs w:val="20"/>
          <w:rtl w:val="0"/>
        </w:rPr>
        <w:t xml:space="preserve">Sergio Antonio Ferreira Dias </w:t>
      </w:r>
      <w:r w:rsidDel="00000000" w:rsidR="00000000" w:rsidRPr="00000000">
        <w:rPr>
          <w:rFonts w:ascii="Montserrat" w:cs="Montserrat" w:eastAsia="Montserrat" w:hAnsi="Montserrat"/>
          <w:sz w:val="20"/>
          <w:szCs w:val="20"/>
          <w:rtl w:val="0"/>
        </w:rPr>
        <w:t xml:space="preserve">como consejero independiente a partir del 1 de abril de 2026, una vez se cumplan los requisitos legales aplicables. También ha tomado razón de la decisión de </w:t>
      </w:r>
      <w:r w:rsidDel="00000000" w:rsidR="00000000" w:rsidRPr="00000000">
        <w:rPr>
          <w:rFonts w:ascii="Montserrat" w:cs="Montserrat" w:eastAsia="Montserrat" w:hAnsi="Montserrat"/>
          <w:b w:val="1"/>
          <w:bCs w:val="1"/>
          <w:sz w:val="20"/>
          <w:szCs w:val="20"/>
          <w:rtl w:val="0"/>
        </w:rPr>
        <w:t xml:space="preserve">José Wahnon Levy</w:t>
      </w:r>
      <w:r w:rsidDel="00000000" w:rsidR="00000000" w:rsidRPr="00000000">
        <w:rPr>
          <w:rFonts w:ascii="Montserrat" w:cs="Montserrat" w:eastAsia="Montserrat" w:hAnsi="Montserrat"/>
          <w:sz w:val="20"/>
          <w:szCs w:val="20"/>
          <w:rtl w:val="0"/>
        </w:rPr>
        <w:t xml:space="preserve">, uno de los consejeros más antiguos de la empresa, de no presentarse a la reelección en la próxima Junta General de Accionistas. Wahnon fue presidente de la Comisión de Auditoría y Cumplimiento y ha desempeñado un papel fundamental en las decisiones que han propiciado el cambio de rumbo y el reposicionamiento estratégico de Dia. Los accionistas de Dia se han beneficiado enormemente de su liderazgo y asesoramiento.</w:t>
      </w:r>
    </w:p>
    <w:p w:rsidR="00000000" w:rsidDel="00000000" w:rsidP="00000000" w:rsidRDefault="00000000" w:rsidRPr="00000000" w14:paraId="0000001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Tras estos cambios, a partir de abril de 2026, el 90% del Consejo de Administración de Dia estará compuesto por consejeros independientes (frente al 70% actual), con comisiones formadas íntegramente por consejeros independientes, un 60% de representación femenina (frente al 50% actual), y una mayoría de consejeros ubicados en España, lo que refuerza el compromiso de la empresa con los más altos estándares de gobierno corporativo.</w:t>
      </w:r>
    </w:p>
    <w:p w:rsidR="00000000" w:rsidDel="00000000" w:rsidP="00000000" w:rsidRDefault="00000000" w:rsidRPr="00000000" w14:paraId="0000001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Estos cambios refuerzan las bases para el desarrollo estratégico de Dia. El Consejo de Administración desempeña un papel fundamental en la definición de la estrategia, la supervisión de la gestión y la creación de valor sostenible a largo plazo para los accionistas y públicos de interés actuando con unidad de propósito, independencia de criterio y en consonancia con las mejores prácticas de gobierno corporativo.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160" w:line="256"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A">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B">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C">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D">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E">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F">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20">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21">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2376488</wp:posOffset>
                </wp:positionH>
                <wp:positionV relativeFrom="paragraph">
                  <wp:posOffset>100013</wp:posOffset>
                </wp:positionV>
                <wp:extent cx="3018155" cy="984250"/>
                <wp:effectExtent b="0" l="0" r="0" t="0"/>
                <wp:wrapNone/>
                <wp:docPr id="1664406241" name=""/>
                <a:graphic>
                  <a:graphicData uri="http://schemas.microsoft.com/office/word/2010/wordprocessingShape">
                    <wps:wsp>
                      <wps:cNvSpPr/>
                      <wps:cNvPr id="5" name="Shape 5"/>
                      <wps:spPr>
                        <a:xfrm>
                          <a:off x="3841685" y="3292638"/>
                          <a:ext cx="3008630" cy="9747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2376488</wp:posOffset>
                </wp:positionH>
                <wp:positionV relativeFrom="paragraph">
                  <wp:posOffset>100013</wp:posOffset>
                </wp:positionV>
                <wp:extent cx="3018155" cy="984250"/>
                <wp:effectExtent b="0" l="0" r="0" t="0"/>
                <wp:wrapNone/>
                <wp:docPr id="166440624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018155" cy="984250"/>
                        </a:xfrm>
                        <a:prstGeom prst="rect"/>
                        <a:ln/>
                      </pic:spPr>
                    </pic:pic>
                  </a:graphicData>
                </a:graphic>
              </wp:anchor>
            </w:drawing>
          </mc:Fallback>
        </mc:AlternateContent>
      </w:r>
    </w:p>
    <w:p w:rsidR="00000000" w:rsidDel="00000000" w:rsidP="00000000" w:rsidRDefault="00000000" w:rsidRPr="00000000" w14:paraId="00000023">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5">
      <w:pPr>
        <w:tabs>
          <w:tab w:val="center" w:leader="none" w:pos="4252"/>
          <w:tab w:val="right" w:leader="none" w:pos="8504"/>
        </w:tabs>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spacing w:after="120" w:lineRule="auto"/>
        <w:rPr>
          <w:rFonts w:ascii="Montserrat Medium" w:cs="Montserrat Medium" w:eastAsia="Montserrat Medium" w:hAnsi="Montserrat Medium"/>
          <w:b w:val="1"/>
          <w:bCs w:val="1"/>
          <w:sz w:val="16"/>
          <w:szCs w:val="16"/>
        </w:rPr>
      </w:pPr>
      <w:r w:rsidDel="00000000" w:rsidR="00000000" w:rsidRPr="00000000">
        <w:rPr>
          <w:rFonts w:ascii="Montserrat Medium" w:cs="Montserrat Medium" w:eastAsia="Montserrat Medium" w:hAnsi="Montserrat Medium"/>
          <w:b w:val="1"/>
          <w:bCs w:val="1"/>
          <w:sz w:val="16"/>
          <w:szCs w:val="16"/>
          <w:rtl w:val="0"/>
        </w:rPr>
        <w:t xml:space="preserve">Grupo Dia </w:t>
      </w:r>
    </w:p>
    <w:p w:rsidR="00000000" w:rsidDel="00000000" w:rsidP="00000000" w:rsidRDefault="00000000" w:rsidRPr="00000000" w14:paraId="00000027">
      <w:pPr>
        <w:tabs>
          <w:tab w:val="center" w:leader="none" w:pos="4252"/>
          <w:tab w:val="right" w:leader="none" w:pos="8504"/>
        </w:tabs>
        <w:spacing w:after="120" w:lineRule="auto"/>
        <w:rPr>
          <w:rFonts w:ascii="Montserrat Medium" w:cs="Montserrat Medium" w:eastAsia="Montserrat Medium" w:hAnsi="Montserrat Medium"/>
          <w:b w:val="1"/>
          <w:bCs w:val="1"/>
          <w:sz w:val="16"/>
          <w:szCs w:val="16"/>
        </w:rPr>
      </w:pPr>
      <w:r w:rsidDel="00000000" w:rsidR="00000000" w:rsidRPr="00000000">
        <w:rPr>
          <w:rFonts w:ascii="Montserrat Medium" w:cs="Montserrat Medium" w:eastAsia="Montserrat Medium" w:hAnsi="Montserrat Medium"/>
          <w:b w:val="1"/>
          <w:bCs w:val="1"/>
          <w:sz w:val="16"/>
          <w:szCs w:val="16"/>
          <w:rtl w:val="0"/>
        </w:rPr>
        <w:t xml:space="preserve">Ainhoa Murga </w:t>
      </w:r>
    </w:p>
    <w:p w:rsidR="00000000" w:rsidDel="00000000" w:rsidP="00000000" w:rsidRDefault="00000000" w:rsidRPr="00000000" w14:paraId="00000028">
      <w:pPr>
        <w:shd w:fill="ffffff" w:val="clear"/>
        <w:rPr>
          <w:rFonts w:ascii="Montserrat" w:cs="Montserrat" w:eastAsia="Montserrat" w:hAnsi="Montserrat"/>
          <w:sz w:val="16"/>
          <w:szCs w:val="16"/>
        </w:rPr>
      </w:pPr>
      <w:r w:rsidDel="00000000" w:rsidR="00000000" w:rsidRPr="00000000">
        <w:rPr>
          <w:rFonts w:ascii="Montserrat" w:cs="Montserrat" w:eastAsia="Montserrat" w:hAnsi="Montserrat"/>
          <w:color w:val="000000"/>
          <w:sz w:val="16"/>
          <w:szCs w:val="16"/>
          <w:rtl w:val="0"/>
        </w:rPr>
        <w:t xml:space="preserve">Teléfono: +34 608 710 511 </w:t>
      </w:r>
      <w:r w:rsidDel="00000000" w:rsidR="00000000" w:rsidRPr="00000000">
        <w:rPr>
          <w:rtl w:val="0"/>
        </w:rPr>
      </w:r>
    </w:p>
    <w:p w:rsidR="00000000" w:rsidDel="00000000" w:rsidP="00000000" w:rsidRDefault="00000000" w:rsidRPr="00000000" w14:paraId="00000029">
      <w:pPr>
        <w:shd w:fill="ffffff" w:val="clear"/>
        <w:rPr>
          <w:rFonts w:ascii="Arial" w:cs="Arial" w:eastAsia="Arial" w:hAnsi="Arial"/>
          <w:color w:val="222222"/>
          <w:sz w:val="20"/>
          <w:szCs w:val="20"/>
        </w:rPr>
      </w:pPr>
      <w:r w:rsidDel="00000000" w:rsidR="00000000" w:rsidRPr="00000000">
        <w:rPr>
          <w:rFonts w:ascii="Montserrat" w:cs="Montserrat" w:eastAsia="Montserrat" w:hAnsi="Montserrat"/>
          <w:color w:val="000000"/>
          <w:sz w:val="16"/>
          <w:szCs w:val="16"/>
          <w:rtl w:val="0"/>
        </w:rPr>
        <w:t xml:space="preserve">Mail: </w:t>
      </w:r>
      <w:hyperlink r:id="rId10">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tl w:val="0"/>
        </w:rPr>
      </w:r>
    </w:p>
    <w:p w:rsidR="00000000" w:rsidDel="00000000" w:rsidP="00000000" w:rsidRDefault="00000000" w:rsidRPr="00000000" w14:paraId="0000002A">
      <w:pPr>
        <w:rPr>
          <w:rFonts w:ascii="Montserrat" w:cs="Montserrat" w:eastAsia="Montserrat" w:hAnsi="Montserrat"/>
          <w:color w:val="000000"/>
          <w:sz w:val="14"/>
          <w:szCs w:val="14"/>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color w:val="000000"/>
          <w:sz w:val="14"/>
          <w:szCs w:val="14"/>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-38086</wp:posOffset>
              </wp:positionV>
              <wp:extent cx="1298575" cy="470535"/>
              <wp:effectExtent b="0" l="0" r="0" t="0"/>
              <wp:wrapNone/>
              <wp:docPr id="1664406240"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-38086</wp:posOffset>
              </wp:positionV>
              <wp:extent cx="1298575" cy="470535"/>
              <wp:effectExtent b="0" l="0" r="0" t="0"/>
              <wp:wrapNone/>
              <wp:docPr id="166440624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98575" cy="4705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-266686</wp:posOffset>
              </wp:positionH>
              <wp:positionV relativeFrom="paragraph">
                <wp:posOffset>-38086</wp:posOffset>
              </wp:positionV>
              <wp:extent cx="1298575" cy="470535"/>
              <wp:effectExtent b="0" l="0" r="0" t="0"/>
              <wp:wrapNone/>
              <wp:docPr id="1664406239"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-266686</wp:posOffset>
              </wp:positionH>
              <wp:positionV relativeFrom="paragraph">
                <wp:posOffset>-38086</wp:posOffset>
              </wp:positionV>
              <wp:extent cx="1298575" cy="470535"/>
              <wp:effectExtent b="0" l="0" r="0" t="0"/>
              <wp:wrapNone/>
              <wp:docPr id="166440623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98575" cy="4705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-38086</wp:posOffset>
              </wp:positionV>
              <wp:extent cx="1442085" cy="470535"/>
              <wp:effectExtent b="0" l="0" r="0" t="0"/>
              <wp:wrapNone/>
              <wp:docPr id="1664406238"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-38086</wp:posOffset>
              </wp:positionV>
              <wp:extent cx="1442085" cy="470535"/>
              <wp:effectExtent b="0" l="0" r="0" t="0"/>
              <wp:wrapNone/>
              <wp:docPr id="166440623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42085" cy="4705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4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-558770</wp:posOffset>
          </wp:positionH>
          <wp:positionV relativeFrom="paragraph">
            <wp:posOffset>152188</wp:posOffset>
          </wp:positionV>
          <wp:extent cx="263525" cy="263525"/>
          <wp:effectExtent b="0" l="0" r="0" t="0"/>
          <wp:wrapSquare wrapText="bothSides" distB="0" distT="0" distL="114300" distR="114300"/>
          <wp:docPr id="166440624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-1080122</wp:posOffset>
          </wp:positionH>
          <wp:positionV relativeFrom="paragraph">
            <wp:posOffset>-318072</wp:posOffset>
          </wp:positionV>
          <wp:extent cx="7549515" cy="922655"/>
          <wp:effectExtent b="0" l="0" r="0" t="0"/>
          <wp:wrapSquare wrapText="bothSides" distB="0" distT="0" distL="114300" distR="114300"/>
          <wp:docPr id="16644062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20" w:customStyle="1">
    <w:name w:val="Table Normal2"/>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table" w:styleId="TableNormal21"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NormalWeb">
    <w:name w:val="Normal (Web)"/>
    <w:basedOn w:val="Normal"/>
    <w:uiPriority w:val="99"/>
    <w:unhideWhenUsed w:val="1"/>
    <w:rsid w:val="005053D1"/>
  </w:style>
  <w:style w:type="character" w:styleId="citation-37" w:customStyle="1">
    <w:name w:val="citation-37"/>
    <w:basedOn w:val="Fuentedeprrafopredeter"/>
    <w:rsid w:val="002B7108"/>
  </w:style>
  <w:style w:type="character" w:styleId="citation-36" w:customStyle="1">
    <w:name w:val="citation-36"/>
    <w:basedOn w:val="Fuentedeprrafopredeter"/>
    <w:rsid w:val="002B7108"/>
  </w:style>
  <w:style w:type="character" w:styleId="button-label" w:customStyle="1">
    <w:name w:val="button-label"/>
    <w:basedOn w:val="Fuentedeprrafopredeter"/>
    <w:rsid w:val="002B7108"/>
  </w:style>
  <w:style w:type="character" w:styleId="citation-35" w:customStyle="1">
    <w:name w:val="citation-35"/>
    <w:basedOn w:val="Fuentedeprrafopredeter"/>
    <w:rsid w:val="002B7108"/>
  </w:style>
  <w:style w:type="character" w:styleId="citation-34" w:customStyle="1">
    <w:name w:val="citation-34"/>
    <w:basedOn w:val="Fuentedeprrafopredeter"/>
    <w:rsid w:val="002B7108"/>
  </w:style>
  <w:style w:type="character" w:styleId="citation-33" w:customStyle="1">
    <w:name w:val="citation-33"/>
    <w:basedOn w:val="Fuentedeprrafopredeter"/>
    <w:rsid w:val="002B7108"/>
  </w:style>
  <w:style w:type="character" w:styleId="citation-32" w:customStyle="1">
    <w:name w:val="citation-32"/>
    <w:basedOn w:val="Fuentedeprrafopredeter"/>
    <w:rsid w:val="002B7108"/>
  </w:style>
  <w:style w:type="character" w:styleId="citation-31" w:customStyle="1">
    <w:name w:val="citation-31"/>
    <w:basedOn w:val="Fuentedeprrafopredeter"/>
    <w:rsid w:val="002B7108"/>
  </w:style>
  <w:style w:type="character" w:styleId="citation-30" w:customStyle="1">
    <w:name w:val="citation-30"/>
    <w:basedOn w:val="Fuentedeprrafopredeter"/>
    <w:rsid w:val="002B7108"/>
  </w:style>
  <w:style w:type="character" w:styleId="citation-29" w:customStyle="1">
    <w:name w:val="citation-29"/>
    <w:basedOn w:val="Fuentedeprrafopredeter"/>
    <w:rsid w:val="002B7108"/>
  </w:style>
  <w:style w:type="character" w:styleId="citation-28" w:customStyle="1">
    <w:name w:val="citation-28"/>
    <w:basedOn w:val="Fuentedeprrafopredeter"/>
    <w:rsid w:val="002B7108"/>
  </w:style>
  <w:style w:type="character" w:styleId="citation-27" w:customStyle="1">
    <w:name w:val="citation-27"/>
    <w:basedOn w:val="Fuentedeprrafopredeter"/>
    <w:rsid w:val="002B7108"/>
  </w:style>
  <w:style w:type="character" w:styleId="citation-26" w:customStyle="1">
    <w:name w:val="citation-26"/>
    <w:basedOn w:val="Fuentedeprrafopredeter"/>
    <w:rsid w:val="002B7108"/>
  </w:style>
  <w:style w:type="character" w:styleId="citation-25" w:customStyle="1">
    <w:name w:val="citation-25"/>
    <w:basedOn w:val="Fuentedeprrafopredeter"/>
    <w:rsid w:val="002B7108"/>
  </w:style>
  <w:style w:type="character" w:styleId="citation-24" w:customStyle="1">
    <w:name w:val="citation-24"/>
    <w:basedOn w:val="Fuentedeprrafopredeter"/>
    <w:rsid w:val="002B7108"/>
  </w:style>
  <w:style w:type="character" w:styleId="citation-23" w:customStyle="1">
    <w:name w:val="citation-23"/>
    <w:basedOn w:val="Fuentedeprrafopredeter"/>
    <w:rsid w:val="002B7108"/>
  </w:style>
  <w:style w:type="character" w:styleId="citation-22" w:customStyle="1">
    <w:name w:val="citation-22"/>
    <w:basedOn w:val="Fuentedeprrafopredeter"/>
    <w:rsid w:val="002B7108"/>
  </w:style>
  <w:style w:type="character" w:styleId="citation-21" w:customStyle="1">
    <w:name w:val="citation-21"/>
    <w:basedOn w:val="Fuentedeprrafopredeter"/>
    <w:rsid w:val="002B7108"/>
  </w:style>
  <w:style w:type="character" w:styleId="citation-20" w:customStyle="1">
    <w:name w:val="citation-20"/>
    <w:basedOn w:val="Fuentedeprrafopredeter"/>
    <w:rsid w:val="002B7108"/>
  </w:style>
  <w:style w:type="character" w:styleId="citation-19" w:customStyle="1">
    <w:name w:val="citation-19"/>
    <w:basedOn w:val="Fuentedeprrafopredeter"/>
    <w:rsid w:val="002B7108"/>
  </w:style>
  <w:style w:type="paragraph" w:styleId="Revisin">
    <w:name w:val="Revision"/>
    <w:hidden w:val="1"/>
    <w:uiPriority w:val="99"/>
    <w:semiHidden w:val="1"/>
    <w:rsid w:val="009963DD"/>
  </w:style>
  <w:style w:type="character" w:styleId="Refdecomentario">
    <w:name w:val="annotation reference"/>
    <w:basedOn w:val="Fuentedeprrafopredeter"/>
    <w:uiPriority w:val="99"/>
    <w:semiHidden w:val="1"/>
    <w:unhideWhenUsed w:val="1"/>
    <w:rsid w:val="00634B00"/>
    <w:rPr>
      <w:sz w:val="16"/>
      <w:szCs w:val="16"/>
    </w:rPr>
  </w:style>
  <w:style w:type="paragraph" w:styleId="Textocomentario">
    <w:name w:val="annotation text"/>
    <w:basedOn w:val="Normal"/>
    <w:link w:val="TextocomentarioCar"/>
    <w:uiPriority w:val="99"/>
    <w:semiHidden w:val="1"/>
    <w:unhideWhenUsed w:val="1"/>
    <w:rsid w:val="00634B00"/>
    <w:rPr>
      <w:sz w:val="20"/>
      <w:szCs w:val="20"/>
    </w:rPr>
  </w:style>
  <w:style w:type="character" w:styleId="TextocomentarioCar" w:customStyle="1">
    <w:name w:val="Texto comentario Car"/>
    <w:basedOn w:val="Fuentedeprrafopredeter"/>
    <w:link w:val="Textocomentario"/>
    <w:uiPriority w:val="99"/>
    <w:semiHidden w:val="1"/>
    <w:rsid w:val="00634B0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34B00"/>
    <w:rPr>
      <w:b w:val="1"/>
      <w:bCs w:val="1"/>
    </w:rPr>
  </w:style>
  <w:style w:type="character" w:styleId="AsuntodelcomentarioCar" w:customStyle="1">
    <w:name w:val="Asunto del comentario Car"/>
    <w:basedOn w:val="TextocomentarioCar"/>
    <w:link w:val="Asuntodelcomentario"/>
    <w:uiPriority w:val="99"/>
    <w:semiHidden w:val="1"/>
    <w:rsid w:val="00634B00"/>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nhoa.murga@diagroup.com" TargetMode="External"/><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 TargetMode="External"/><Relationship Id="rId8" Type="http://schemas.openxmlformats.org/officeDocument/2006/relationships/hyperlink" Target="https://www.linkedin.com/company/dia-grup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hvrs3CzSwjR3GLoj/mnSHF/Vg==">CgMxLjA4AHIhMWthVkV1QThCR0lBSWF0VHZEUVVsaWo0aUxuQ3h6Q1Vu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2026-01-20T16:47:00Z</dcterms:created>
  <dc:creator>Fer nando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0x010100A836CE391EC03A478B76AE252BD6CACA</vt:lpwstr>
  </property>
</Properties>
</file>