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E5E35" w14:textId="77777777" w:rsidR="00020214" w:rsidRPr="00755B4F" w:rsidRDefault="00020214" w:rsidP="00755B4F">
      <w:pPr>
        <w:rPr>
          <w:rStyle w:val="Ninguno"/>
          <w:rFonts w:ascii="Calibri" w:hAnsi="Calibri"/>
          <w:b/>
          <w:bCs/>
          <w:color w:val="FF0000"/>
          <w:sz w:val="48"/>
          <w:szCs w:val="48"/>
          <w:u w:color="FF0000"/>
          <w:lang w:val="es-ES_tradnl"/>
        </w:rPr>
      </w:pPr>
    </w:p>
    <w:p w14:paraId="67C95154" w14:textId="60E7B6BD" w:rsidR="004073BA" w:rsidRDefault="000A70A0" w:rsidP="00470E84">
      <w:pPr>
        <w:pStyle w:val="Prrafodelista"/>
        <w:jc w:val="center"/>
        <w:rPr>
          <w:rFonts w:ascii="Calibri" w:hAnsi="Calibri"/>
          <w:b/>
          <w:bCs/>
          <w:color w:val="FF0000"/>
          <w:sz w:val="48"/>
          <w:szCs w:val="48"/>
          <w:u w:color="FF0000"/>
          <w:lang w:val="es-ES"/>
        </w:rPr>
      </w:pPr>
      <w:r w:rsidRPr="000A70A0">
        <w:rPr>
          <w:rFonts w:ascii="Calibri" w:hAnsi="Calibri"/>
          <w:b/>
          <w:bCs/>
          <w:color w:val="FF0000"/>
          <w:sz w:val="48"/>
          <w:szCs w:val="48"/>
          <w:u w:color="FF0000"/>
          <w:lang w:val="es-ES"/>
        </w:rPr>
        <w:t xml:space="preserve">Emcesa </w:t>
      </w:r>
      <w:r w:rsidR="001E5A9C">
        <w:rPr>
          <w:rFonts w:ascii="Calibri" w:hAnsi="Calibri"/>
          <w:b/>
          <w:bCs/>
          <w:color w:val="FF0000"/>
          <w:sz w:val="48"/>
          <w:szCs w:val="48"/>
          <w:u w:color="FF0000"/>
          <w:lang w:val="es-ES"/>
        </w:rPr>
        <w:t xml:space="preserve">apuesta por </w:t>
      </w:r>
      <w:r w:rsidR="00BD0BE6" w:rsidRPr="00BD0BE6">
        <w:rPr>
          <w:rFonts w:ascii="Calibri" w:hAnsi="Calibri"/>
          <w:b/>
          <w:bCs/>
          <w:color w:val="FF0000"/>
          <w:sz w:val="48"/>
          <w:szCs w:val="48"/>
          <w:u w:color="FF0000"/>
          <w:lang w:val="es-ES"/>
        </w:rPr>
        <w:t xml:space="preserve">reducir un 10 % </w:t>
      </w:r>
      <w:r w:rsidR="00DE7610">
        <w:rPr>
          <w:rFonts w:ascii="Calibri" w:hAnsi="Calibri"/>
          <w:b/>
          <w:bCs/>
          <w:color w:val="FF0000"/>
          <w:sz w:val="48"/>
          <w:szCs w:val="48"/>
          <w:u w:color="FF0000"/>
          <w:lang w:val="es-ES"/>
        </w:rPr>
        <w:t>su huella de carbono</w:t>
      </w:r>
    </w:p>
    <w:p w14:paraId="68D8818B" w14:textId="77777777" w:rsidR="00EC6464" w:rsidRDefault="00EC6464" w:rsidP="00470E84">
      <w:pPr>
        <w:pStyle w:val="Prrafodelista"/>
        <w:jc w:val="center"/>
        <w:rPr>
          <w:rStyle w:val="Ninguno"/>
          <w:rFonts w:ascii="Calibri" w:eastAsia="Calibri" w:hAnsi="Calibri" w:cs="Calibri"/>
          <w:b/>
          <w:bCs/>
          <w:color w:val="FF0000"/>
          <w:sz w:val="48"/>
          <w:szCs w:val="48"/>
          <w:u w:color="FF0000"/>
          <w:lang w:val="es-ES_tradnl"/>
        </w:rPr>
      </w:pPr>
    </w:p>
    <w:p w14:paraId="1BFD0B6C" w14:textId="4545F958" w:rsidR="00DA224F" w:rsidRPr="00292541" w:rsidRDefault="001F78D2" w:rsidP="00292541">
      <w:pPr>
        <w:pStyle w:val="Prrafodelista"/>
        <w:numPr>
          <w:ilvl w:val="0"/>
          <w:numId w:val="17"/>
        </w:numPr>
        <w:jc w:val="both"/>
        <w:rPr>
          <w:rFonts w:ascii="Calibri" w:eastAsia="Times New Roman" w:hAnsi="Calibri" w:cs="Calibri"/>
          <w:b/>
          <w:bCs/>
          <w:bdr w:val="none" w:sz="0" w:space="0" w:color="auto"/>
        </w:rPr>
      </w:pPr>
      <w:r>
        <w:rPr>
          <w:rFonts w:ascii="Calibri" w:eastAsia="Times New Roman" w:hAnsi="Calibri" w:cs="Calibri"/>
          <w:b/>
          <w:bCs/>
          <w:bdr w:val="none" w:sz="0" w:space="0" w:color="auto"/>
        </w:rPr>
        <w:t xml:space="preserve">La empresa cuenta con un </w:t>
      </w:r>
      <w:r w:rsidR="00845BCA" w:rsidRPr="00292541">
        <w:rPr>
          <w:rFonts w:ascii="Calibri" w:eastAsia="Times New Roman" w:hAnsi="Calibri" w:cs="Calibri"/>
          <w:b/>
          <w:bCs/>
          <w:bdr w:val="none" w:sz="0" w:space="0" w:color="auto"/>
        </w:rPr>
        <w:t xml:space="preserve">Plan de Descarbonización </w:t>
      </w:r>
      <w:r w:rsidR="00CE5007">
        <w:rPr>
          <w:rFonts w:ascii="Calibri" w:eastAsia="Times New Roman" w:hAnsi="Calibri" w:cs="Calibri"/>
          <w:b/>
          <w:bCs/>
          <w:bdr w:val="none" w:sz="0" w:space="0" w:color="auto"/>
        </w:rPr>
        <w:t xml:space="preserve">basado </w:t>
      </w:r>
      <w:r>
        <w:rPr>
          <w:rFonts w:ascii="Calibri" w:eastAsia="Times New Roman" w:hAnsi="Calibri" w:cs="Calibri"/>
          <w:b/>
          <w:bCs/>
          <w:bdr w:val="none" w:sz="0" w:space="0" w:color="auto"/>
        </w:rPr>
        <w:t>en</w:t>
      </w:r>
      <w:r w:rsidR="00845BCA" w:rsidRPr="00292541">
        <w:rPr>
          <w:rFonts w:ascii="Calibri" w:eastAsia="Times New Roman" w:hAnsi="Calibri" w:cs="Calibri"/>
          <w:b/>
          <w:bCs/>
          <w:bdr w:val="none" w:sz="0" w:space="0" w:color="auto"/>
        </w:rPr>
        <w:t xml:space="preserve"> la eficiencia energética, la optimización de procesos productivos y la incorporación progresiva de energía de origen renovable como eje de su estrategia de sostenibilidad</w:t>
      </w:r>
    </w:p>
    <w:p w14:paraId="434DCCEA" w14:textId="77777777" w:rsidR="00292541" w:rsidRPr="00DA224F" w:rsidRDefault="00292541" w:rsidP="00292541">
      <w:pPr>
        <w:pStyle w:val="Prrafodelista"/>
        <w:jc w:val="both"/>
        <w:rPr>
          <w:rFonts w:ascii="Calibri" w:eastAsia="Times New Roman" w:hAnsi="Calibri" w:cs="Calibri"/>
          <w:b/>
          <w:bCs/>
          <w:bdr w:val="none" w:sz="0" w:space="0" w:color="auto"/>
          <w:lang w:val="es-ES"/>
        </w:rPr>
      </w:pPr>
    </w:p>
    <w:p w14:paraId="3F2F80E5" w14:textId="1ABAFB4F" w:rsidR="00292541" w:rsidRPr="00292541" w:rsidRDefault="00292541" w:rsidP="00292541">
      <w:pPr>
        <w:pStyle w:val="Prrafodelista"/>
        <w:numPr>
          <w:ilvl w:val="0"/>
          <w:numId w:val="17"/>
        </w:numPr>
        <w:jc w:val="both"/>
        <w:rPr>
          <w:rFonts w:ascii="Calibri" w:eastAsia="Times New Roman" w:hAnsi="Calibri" w:cs="Calibri"/>
          <w:b/>
          <w:bCs/>
          <w:bdr w:val="none" w:sz="0" w:space="0" w:color="auto"/>
          <w:lang w:val="es-ES"/>
        </w:rPr>
      </w:pPr>
      <w:r w:rsidRPr="00292541">
        <w:rPr>
          <w:rFonts w:ascii="Calibri" w:eastAsia="Times New Roman" w:hAnsi="Calibri" w:cs="Calibri"/>
          <w:b/>
          <w:bCs/>
          <w:bdr w:val="none" w:sz="0" w:space="0" w:color="auto"/>
          <w:lang w:val="es-ES"/>
        </w:rPr>
        <w:t>Esta hoja de ruta se apoya en una trayectoria previa de actuaciones en materia de sostenibilidad, entre las que destacan la instalación de una planta fotovoltaica de 1.731 kWp, la sustitución de luminarias por tecnología LED y el uso mayoritario de envases con plástico reciclado, que ya superan los 11 millones de unidades</w:t>
      </w:r>
    </w:p>
    <w:p w14:paraId="66A7177F" w14:textId="77777777" w:rsidR="003441AD" w:rsidRPr="003441AD" w:rsidRDefault="003441AD" w:rsidP="003441AD">
      <w:pPr>
        <w:pStyle w:val="Prrafodelista"/>
        <w:jc w:val="both"/>
        <w:rPr>
          <w:rStyle w:val="Ninguno"/>
          <w:rFonts w:ascii="Calibri" w:hAnsi="Calibri" w:cs="Calibri"/>
          <w:b/>
          <w:bCs/>
          <w:lang w:val="es-ES"/>
        </w:rPr>
      </w:pPr>
    </w:p>
    <w:p w14:paraId="74CB9CE9" w14:textId="2B0D8B7D" w:rsidR="00F90256" w:rsidRPr="00CE5007" w:rsidRDefault="006B6D40" w:rsidP="00CE5007">
      <w:pPr>
        <w:pStyle w:val="NormalWeb"/>
        <w:jc w:val="both"/>
        <w:rPr>
          <w:rFonts w:ascii="Calibri" w:eastAsia="Times New Roman" w:hAnsi="Calibri" w:cs="Calibri"/>
          <w:bdr w:val="none" w:sz="0" w:space="0" w:color="auto"/>
          <w:lang w:val="es-ES" w:eastAsia="es-ES"/>
        </w:rPr>
      </w:pPr>
      <w:r w:rsidRPr="00CE5007">
        <w:rPr>
          <w:rStyle w:val="Ninguno"/>
          <w:rFonts w:ascii="Calibri" w:hAnsi="Calibri" w:cs="Calibri"/>
          <w:b/>
          <w:bCs/>
          <w:lang w:val="es-ES"/>
        </w:rPr>
        <w:t xml:space="preserve">Toledo, a </w:t>
      </w:r>
      <w:r w:rsidR="00E20DAE">
        <w:rPr>
          <w:rStyle w:val="Ninguno"/>
          <w:rFonts w:ascii="Calibri" w:hAnsi="Calibri" w:cs="Calibri"/>
          <w:b/>
          <w:bCs/>
          <w:lang w:val="es-ES"/>
        </w:rPr>
        <w:t>12</w:t>
      </w:r>
      <w:r w:rsidR="00450292" w:rsidRPr="00CE5007">
        <w:rPr>
          <w:rStyle w:val="Ninguno"/>
          <w:rFonts w:ascii="Calibri" w:hAnsi="Calibri" w:cs="Calibri"/>
          <w:b/>
          <w:bCs/>
          <w:lang w:val="es-ES"/>
        </w:rPr>
        <w:t xml:space="preserve"> </w:t>
      </w:r>
      <w:r w:rsidRPr="00CE5007">
        <w:rPr>
          <w:rStyle w:val="Ninguno"/>
          <w:rFonts w:ascii="Calibri" w:hAnsi="Calibri" w:cs="Calibri"/>
          <w:b/>
          <w:bCs/>
          <w:lang w:val="es-ES"/>
        </w:rPr>
        <w:t>de</w:t>
      </w:r>
      <w:r w:rsidR="005C0E2A" w:rsidRPr="00CE5007">
        <w:rPr>
          <w:rStyle w:val="Ninguno"/>
          <w:rFonts w:ascii="Calibri" w:hAnsi="Calibri" w:cs="Calibri"/>
          <w:b/>
          <w:bCs/>
          <w:lang w:val="es-ES"/>
        </w:rPr>
        <w:t xml:space="preserve"> febrero</w:t>
      </w:r>
      <w:r w:rsidRPr="00CE5007">
        <w:rPr>
          <w:rStyle w:val="Ninguno"/>
          <w:rFonts w:ascii="Calibri" w:hAnsi="Calibri" w:cs="Calibri"/>
          <w:b/>
          <w:bCs/>
          <w:lang w:val="es-ES"/>
        </w:rPr>
        <w:t xml:space="preserve"> de 202</w:t>
      </w:r>
      <w:r w:rsidR="00F6041E" w:rsidRPr="00CE5007">
        <w:rPr>
          <w:rStyle w:val="Ninguno"/>
          <w:rFonts w:ascii="Calibri" w:hAnsi="Calibri" w:cs="Calibri"/>
          <w:b/>
          <w:bCs/>
          <w:lang w:val="es-ES"/>
        </w:rPr>
        <w:t>6</w:t>
      </w:r>
      <w:r w:rsidRPr="00CE5007">
        <w:rPr>
          <w:rStyle w:val="Ninguno"/>
          <w:rFonts w:ascii="Calibri" w:hAnsi="Calibri" w:cs="Calibri"/>
          <w:b/>
          <w:bCs/>
          <w:lang w:val="es-ES"/>
        </w:rPr>
        <w:t>.-</w:t>
      </w:r>
      <w:r w:rsidR="008010EA" w:rsidRPr="00CE5007">
        <w:rPr>
          <w:rFonts w:ascii="Calibri" w:eastAsia="Times New Roman" w:hAnsi="Calibri" w:cs="Calibri"/>
          <w:bdr w:val="none" w:sz="0" w:space="0" w:color="auto"/>
          <w:lang w:val="es-ES" w:eastAsia="es-ES"/>
        </w:rPr>
        <w:t xml:space="preserve"> </w:t>
      </w:r>
      <w:r w:rsidR="00F90256" w:rsidRPr="00CE5007">
        <w:rPr>
          <w:rFonts w:ascii="Calibri" w:eastAsia="Times New Roman" w:hAnsi="Calibri" w:cs="Calibri"/>
          <w:bdr w:val="none" w:sz="0" w:space="0" w:color="auto"/>
          <w:lang w:val="es-ES" w:eastAsia="es-ES"/>
        </w:rPr>
        <w:t xml:space="preserve">La sostenibilidad constituye uno de los ejes estratégicos de </w:t>
      </w:r>
      <w:r w:rsidR="00F90256" w:rsidRPr="00CE5007">
        <w:rPr>
          <w:rFonts w:ascii="Calibri" w:eastAsia="Times New Roman" w:hAnsi="Calibri" w:cs="Calibri"/>
          <w:b/>
          <w:bCs/>
          <w:bdr w:val="none" w:sz="0" w:space="0" w:color="auto"/>
          <w:lang w:val="es-ES" w:eastAsia="es-ES"/>
        </w:rPr>
        <w:t>Emcesa</w:t>
      </w:r>
      <w:r w:rsidR="00F90256" w:rsidRPr="00CE5007">
        <w:rPr>
          <w:rFonts w:ascii="Calibri" w:eastAsia="Times New Roman" w:hAnsi="Calibri" w:cs="Calibri"/>
          <w:bdr w:val="none" w:sz="0" w:space="0" w:color="auto"/>
          <w:lang w:val="es-ES" w:eastAsia="es-ES"/>
        </w:rPr>
        <w:t>, empresa especializada en la elaboración de productos cárnicos, que desarrolla su actividad industrial incorporando de manera transversal criterios ambientales, energéticos y de eficiencia en sus procesos. Esta visión se traduce en una gestión orientada a la mejora continua y a la integración de la sostenibilidad en la toma de decisiones.</w:t>
      </w:r>
    </w:p>
    <w:p w14:paraId="424F9C8B" w14:textId="77777777" w:rsidR="00F90256" w:rsidRPr="00F90256" w:rsidRDefault="00F90256" w:rsidP="00CE5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F90256">
        <w:rPr>
          <w:rFonts w:ascii="Calibri" w:eastAsia="Times New Roman" w:hAnsi="Calibri" w:cs="Calibri"/>
          <w:bdr w:val="none" w:sz="0" w:space="0" w:color="auto"/>
          <w:lang w:val="es-ES" w:eastAsia="es-ES"/>
        </w:rPr>
        <w:t xml:space="preserve">En este contexto, la empresa ha desarrollado un </w:t>
      </w:r>
      <w:r w:rsidRPr="00F90256">
        <w:rPr>
          <w:rFonts w:ascii="Calibri" w:eastAsia="Times New Roman" w:hAnsi="Calibri" w:cs="Calibri"/>
          <w:b/>
          <w:bCs/>
          <w:bdr w:val="none" w:sz="0" w:space="0" w:color="auto"/>
          <w:lang w:val="es-ES" w:eastAsia="es-ES"/>
        </w:rPr>
        <w:t>Plan de Descarbonización apoyado en el análisis de su huella de carbono</w:t>
      </w:r>
      <w:r w:rsidRPr="00F90256">
        <w:rPr>
          <w:rFonts w:ascii="Calibri" w:eastAsia="Times New Roman" w:hAnsi="Calibri" w:cs="Calibri"/>
          <w:bdr w:val="none" w:sz="0" w:space="0" w:color="auto"/>
          <w:lang w:val="es-ES" w:eastAsia="es-ES"/>
        </w:rPr>
        <w:t xml:space="preserve">, plenamente integrado en su estrategia de sostenibilidad. El estudio, correspondiente al año base 2024, se enmarca como una </w:t>
      </w:r>
      <w:r w:rsidRPr="00F90256">
        <w:rPr>
          <w:rFonts w:ascii="Calibri" w:eastAsia="Times New Roman" w:hAnsi="Calibri" w:cs="Calibri"/>
          <w:b/>
          <w:bCs/>
          <w:bdr w:val="none" w:sz="0" w:space="0" w:color="auto"/>
          <w:lang w:val="es-ES" w:eastAsia="es-ES"/>
        </w:rPr>
        <w:t>herramienta de referencia dentro del enfoque de gestión ambiental de Emcesa</w:t>
      </w:r>
      <w:r w:rsidRPr="00F90256">
        <w:rPr>
          <w:rFonts w:ascii="Calibri" w:eastAsia="Times New Roman" w:hAnsi="Calibri" w:cs="Calibri"/>
          <w:bdr w:val="none" w:sz="0" w:space="0" w:color="auto"/>
          <w:lang w:val="es-ES" w:eastAsia="es-ES"/>
        </w:rPr>
        <w:t>, aportando información estructurada que respalda el desarrollo y la implementación del plan y refuerza la planificación de las actuaciones previstas.</w:t>
      </w:r>
    </w:p>
    <w:p w14:paraId="03354AC1" w14:textId="77777777" w:rsidR="00F90256" w:rsidRPr="00F90256" w:rsidRDefault="00F90256" w:rsidP="00CE5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F90256">
        <w:rPr>
          <w:rFonts w:ascii="Calibri" w:eastAsia="Times New Roman" w:hAnsi="Calibri" w:cs="Calibri"/>
          <w:bdr w:val="none" w:sz="0" w:space="0" w:color="auto"/>
          <w:lang w:val="es-ES" w:eastAsia="es-ES"/>
        </w:rPr>
        <w:t xml:space="preserve">Sobre esta base, el Plan de Descarbonización establece una </w:t>
      </w:r>
      <w:r w:rsidRPr="00F90256">
        <w:rPr>
          <w:rFonts w:ascii="Calibri" w:eastAsia="Times New Roman" w:hAnsi="Calibri" w:cs="Calibri"/>
          <w:b/>
          <w:bCs/>
          <w:bdr w:val="none" w:sz="0" w:space="0" w:color="auto"/>
          <w:lang w:val="es-ES" w:eastAsia="es-ES"/>
        </w:rPr>
        <w:t>hoja de ruta orientada a optimizar el desempeño ambiental de la actividad industrial</w:t>
      </w:r>
      <w:r w:rsidRPr="00F90256">
        <w:rPr>
          <w:rFonts w:ascii="Calibri" w:eastAsia="Times New Roman" w:hAnsi="Calibri" w:cs="Calibri"/>
          <w:bdr w:val="none" w:sz="0" w:space="0" w:color="auto"/>
          <w:lang w:val="es-ES" w:eastAsia="es-ES"/>
        </w:rPr>
        <w:t>, con especial atención a la eficiencia energética y al uso responsable de los recursos. El plan recoge un conjunto de medidas técnicas y organizativas diseñadas para integrarse de forma natural en la operativa de la compañía, reforzando una gestión energética eficiente y sostenible.</w:t>
      </w:r>
    </w:p>
    <w:p w14:paraId="2E8181D1" w14:textId="77777777" w:rsidR="00F90256" w:rsidRDefault="00F90256" w:rsidP="00CE5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F90256">
        <w:rPr>
          <w:rFonts w:ascii="Calibri" w:eastAsia="Times New Roman" w:hAnsi="Calibri" w:cs="Calibri"/>
          <w:bdr w:val="none" w:sz="0" w:space="0" w:color="auto"/>
          <w:lang w:val="es-ES" w:eastAsia="es-ES"/>
        </w:rPr>
        <w:t xml:space="preserve">Entre las actuaciones previstas destacan las orientadas a la </w:t>
      </w:r>
      <w:r w:rsidRPr="00F90256">
        <w:rPr>
          <w:rFonts w:ascii="Calibri" w:eastAsia="Times New Roman" w:hAnsi="Calibri" w:cs="Calibri"/>
          <w:b/>
          <w:bCs/>
          <w:bdr w:val="none" w:sz="0" w:space="0" w:color="auto"/>
          <w:lang w:val="es-ES" w:eastAsia="es-ES"/>
        </w:rPr>
        <w:t>optimización de los procesos térmicos y de combustión en instalaciones fijas</w:t>
      </w:r>
      <w:r w:rsidRPr="00F90256">
        <w:rPr>
          <w:rFonts w:ascii="Calibri" w:eastAsia="Times New Roman" w:hAnsi="Calibri" w:cs="Calibri"/>
          <w:bdr w:val="none" w:sz="0" w:space="0" w:color="auto"/>
          <w:lang w:val="es-ES" w:eastAsia="es-ES"/>
        </w:rPr>
        <w:t>, mediante mejoras en calderas y hornos industriales, la incorporación de sistemas de control y monitorización del consumo energético, la mejora de la envolvente térmica en zonas de cocción y secaderos, así como una gestión más eficiente de la climatización y la zonificación de los espacios productivos.</w:t>
      </w:r>
    </w:p>
    <w:p w14:paraId="732F9F17" w14:textId="77777777" w:rsidR="00CE5007" w:rsidRDefault="00CE5007" w:rsidP="00CE5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p>
    <w:p w14:paraId="1AAC0240" w14:textId="77777777" w:rsidR="00CE5007" w:rsidRPr="00F90256" w:rsidRDefault="00CE5007" w:rsidP="00CE5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p>
    <w:p w14:paraId="395DEF24" w14:textId="7FA79AB7" w:rsidR="00F90256" w:rsidRPr="00F90256" w:rsidRDefault="00F90256" w:rsidP="00CE5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F90256">
        <w:rPr>
          <w:rFonts w:ascii="Calibri" w:eastAsia="Times New Roman" w:hAnsi="Calibri" w:cs="Calibri"/>
          <w:bdr w:val="none" w:sz="0" w:space="0" w:color="auto"/>
          <w:lang w:val="es-ES" w:eastAsia="es-ES"/>
        </w:rPr>
        <w:t xml:space="preserve">En paralelo, el plan contempla actuaciones específicas en el ámbito del </w:t>
      </w:r>
      <w:r w:rsidRPr="00F90256">
        <w:rPr>
          <w:rFonts w:ascii="Calibri" w:eastAsia="Times New Roman" w:hAnsi="Calibri" w:cs="Calibri"/>
          <w:b/>
          <w:bCs/>
          <w:bdr w:val="none" w:sz="0" w:space="0" w:color="auto"/>
          <w:lang w:val="es-ES" w:eastAsia="es-ES"/>
        </w:rPr>
        <w:t>consumo eléctrico</w:t>
      </w:r>
      <w:r w:rsidRPr="00F90256">
        <w:rPr>
          <w:rFonts w:ascii="Calibri" w:eastAsia="Times New Roman" w:hAnsi="Calibri" w:cs="Calibri"/>
          <w:bdr w:val="none" w:sz="0" w:space="0" w:color="auto"/>
          <w:lang w:val="es-ES" w:eastAsia="es-ES"/>
        </w:rPr>
        <w:t xml:space="preserve">, abordando tanto el origen como el uso de la energía. Entre ellas se incluye la </w:t>
      </w:r>
      <w:r w:rsidRPr="00F90256">
        <w:rPr>
          <w:rFonts w:ascii="Calibri" w:eastAsia="Times New Roman" w:hAnsi="Calibri" w:cs="Calibri"/>
          <w:b/>
          <w:bCs/>
          <w:bdr w:val="none" w:sz="0" w:space="0" w:color="auto"/>
          <w:lang w:val="es-ES" w:eastAsia="es-ES"/>
        </w:rPr>
        <w:t xml:space="preserve">incorporación </w:t>
      </w:r>
      <w:r w:rsidR="007C5838">
        <w:rPr>
          <w:rFonts w:ascii="Calibri" w:eastAsia="Times New Roman" w:hAnsi="Calibri" w:cs="Calibri"/>
          <w:b/>
          <w:bCs/>
          <w:bdr w:val="none" w:sz="0" w:space="0" w:color="auto"/>
          <w:lang w:val="es-ES" w:eastAsia="es-ES"/>
        </w:rPr>
        <w:t xml:space="preserve">progresiva </w:t>
      </w:r>
      <w:r w:rsidRPr="00F90256">
        <w:rPr>
          <w:rFonts w:ascii="Calibri" w:eastAsia="Times New Roman" w:hAnsi="Calibri" w:cs="Calibri"/>
          <w:b/>
          <w:bCs/>
          <w:bdr w:val="none" w:sz="0" w:space="0" w:color="auto"/>
          <w:lang w:val="es-ES" w:eastAsia="es-ES"/>
        </w:rPr>
        <w:t>de suministro eléctrico de origen 100 % renovable</w:t>
      </w:r>
      <w:r w:rsidRPr="00F90256">
        <w:rPr>
          <w:rFonts w:ascii="Calibri" w:eastAsia="Times New Roman" w:hAnsi="Calibri" w:cs="Calibri"/>
          <w:bdr w:val="none" w:sz="0" w:space="0" w:color="auto"/>
          <w:lang w:val="es-ES" w:eastAsia="es-ES"/>
        </w:rPr>
        <w:t xml:space="preserve">, junto con la implantación de tecnologías de alta eficiencia —como iluminación LED, motores eficientes y sistemas de control inteligente—, la optimización energética de cámaras frigoríficas y el mantenimiento preventivo de los equipos. Asimismo, se prevé la </w:t>
      </w:r>
      <w:r w:rsidR="007C5838">
        <w:rPr>
          <w:rFonts w:ascii="Calibri" w:eastAsia="Times New Roman" w:hAnsi="Calibri" w:cs="Calibri"/>
          <w:b/>
          <w:bCs/>
          <w:bdr w:val="none" w:sz="0" w:space="0" w:color="auto"/>
          <w:lang w:val="es-ES" w:eastAsia="es-ES"/>
        </w:rPr>
        <w:t>mejora</w:t>
      </w:r>
      <w:r w:rsidRPr="00F90256">
        <w:rPr>
          <w:rFonts w:ascii="Calibri" w:eastAsia="Times New Roman" w:hAnsi="Calibri" w:cs="Calibri"/>
          <w:b/>
          <w:bCs/>
          <w:bdr w:val="none" w:sz="0" w:space="0" w:color="auto"/>
          <w:lang w:val="es-ES" w:eastAsia="es-ES"/>
        </w:rPr>
        <w:t xml:space="preserve"> progresiva de la instalación fotovoltaica</w:t>
      </w:r>
      <w:r w:rsidRPr="00F90256">
        <w:rPr>
          <w:rFonts w:ascii="Calibri" w:eastAsia="Times New Roman" w:hAnsi="Calibri" w:cs="Calibri"/>
          <w:bdr w:val="none" w:sz="0" w:space="0" w:color="auto"/>
          <w:lang w:val="es-ES" w:eastAsia="es-ES"/>
        </w:rPr>
        <w:t>, priorizando el autoconsumo en las horas de mayor demanda productiva.</w:t>
      </w:r>
    </w:p>
    <w:p w14:paraId="63AC1C1B" w14:textId="77777777" w:rsidR="00F90256" w:rsidRPr="00F90256" w:rsidRDefault="00F90256" w:rsidP="00CE5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F90256">
        <w:rPr>
          <w:rFonts w:ascii="Calibri" w:eastAsia="Times New Roman" w:hAnsi="Calibri" w:cs="Calibri"/>
          <w:bdr w:val="none" w:sz="0" w:space="0" w:color="auto"/>
          <w:lang w:val="es-ES" w:eastAsia="es-ES"/>
        </w:rPr>
        <w:t xml:space="preserve">De acuerdo con los escenarios analizados, la aplicación progresiva de estas medidas permitiría alcanzar </w:t>
      </w:r>
      <w:r w:rsidRPr="00F90256">
        <w:rPr>
          <w:rFonts w:ascii="Calibri" w:eastAsia="Times New Roman" w:hAnsi="Calibri" w:cs="Calibri"/>
          <w:b/>
          <w:bCs/>
          <w:bdr w:val="none" w:sz="0" w:space="0" w:color="auto"/>
          <w:lang w:val="es-ES" w:eastAsia="es-ES"/>
        </w:rPr>
        <w:t>reducciones significativas de la huella de carbono</w:t>
      </w:r>
      <w:r w:rsidRPr="00F90256">
        <w:rPr>
          <w:rFonts w:ascii="Calibri" w:eastAsia="Times New Roman" w:hAnsi="Calibri" w:cs="Calibri"/>
          <w:bdr w:val="none" w:sz="0" w:space="0" w:color="auto"/>
          <w:lang w:val="es-ES" w:eastAsia="es-ES"/>
        </w:rPr>
        <w:t xml:space="preserve">, con avances cercanos al </w:t>
      </w:r>
      <w:r w:rsidRPr="00F90256">
        <w:rPr>
          <w:rFonts w:ascii="Calibri" w:eastAsia="Times New Roman" w:hAnsi="Calibri" w:cs="Calibri"/>
          <w:b/>
          <w:bCs/>
          <w:bdr w:val="none" w:sz="0" w:space="0" w:color="auto"/>
          <w:lang w:val="es-ES" w:eastAsia="es-ES"/>
        </w:rPr>
        <w:t>10 %</w:t>
      </w:r>
      <w:r w:rsidRPr="00F90256">
        <w:rPr>
          <w:rFonts w:ascii="Calibri" w:eastAsia="Times New Roman" w:hAnsi="Calibri" w:cs="Calibri"/>
          <w:bdr w:val="none" w:sz="0" w:space="0" w:color="auto"/>
          <w:lang w:val="es-ES" w:eastAsia="es-ES"/>
        </w:rPr>
        <w:t xml:space="preserve"> derivados de la mejora de la eficiencia energética y la optimización de los procesos industriales, consolidando una senda de descarbonización sostenida en el tiempo.</w:t>
      </w:r>
    </w:p>
    <w:p w14:paraId="5CBF2474" w14:textId="77777777" w:rsidR="00F90256" w:rsidRPr="00F90256" w:rsidRDefault="00F90256" w:rsidP="00CE5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F90256">
        <w:rPr>
          <w:rFonts w:ascii="Calibri" w:eastAsia="Times New Roman" w:hAnsi="Calibri" w:cs="Calibri"/>
          <w:bdr w:val="none" w:sz="0" w:space="0" w:color="auto"/>
          <w:lang w:val="es-ES" w:eastAsia="es-ES"/>
        </w:rPr>
        <w:t xml:space="preserve">El Plan de Descarbonización incorpora también actuaciones dirigidas a una </w:t>
      </w:r>
      <w:r w:rsidRPr="00F90256">
        <w:rPr>
          <w:rFonts w:ascii="Calibri" w:eastAsia="Times New Roman" w:hAnsi="Calibri" w:cs="Calibri"/>
          <w:b/>
          <w:bCs/>
          <w:bdr w:val="none" w:sz="0" w:space="0" w:color="auto"/>
          <w:lang w:val="es-ES" w:eastAsia="es-ES"/>
        </w:rPr>
        <w:t>gestión más eficiente del transporte y la maquinaria</w:t>
      </w:r>
      <w:r w:rsidRPr="00F90256">
        <w:rPr>
          <w:rFonts w:ascii="Calibri" w:eastAsia="Times New Roman" w:hAnsi="Calibri" w:cs="Calibri"/>
          <w:bdr w:val="none" w:sz="0" w:space="0" w:color="auto"/>
          <w:lang w:val="es-ES" w:eastAsia="es-ES"/>
        </w:rPr>
        <w:t>, mediante la progresiva incorporación de vehículos y equipos de menor impacto ambiental, la optimización de rutas, el uso de combustibles alternativos y la formación en conducción eficiente. Estas medidas contribuyen a mejorar la eficiencia operativa y a reducir el consumo asociado a la movilidad dentro de la actividad industrial.</w:t>
      </w:r>
    </w:p>
    <w:p w14:paraId="2BE65E84" w14:textId="77777777" w:rsidR="00F90256" w:rsidRPr="00F90256" w:rsidRDefault="00F90256" w:rsidP="00CE5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F90256">
        <w:rPr>
          <w:rFonts w:ascii="Calibri" w:eastAsia="Times New Roman" w:hAnsi="Calibri" w:cs="Calibri"/>
          <w:bdr w:val="none" w:sz="0" w:space="0" w:color="auto"/>
          <w:lang w:val="es-ES" w:eastAsia="es-ES"/>
        </w:rPr>
        <w:t xml:space="preserve">Este conjunto de actuaciones se apoya, además, en iniciativas ya implantadas en el ámbito de la </w:t>
      </w:r>
      <w:r w:rsidRPr="00F90256">
        <w:rPr>
          <w:rFonts w:ascii="Calibri" w:eastAsia="Times New Roman" w:hAnsi="Calibri" w:cs="Calibri"/>
          <w:b/>
          <w:bCs/>
          <w:bdr w:val="none" w:sz="0" w:space="0" w:color="auto"/>
          <w:lang w:val="es-ES" w:eastAsia="es-ES"/>
        </w:rPr>
        <w:t>sostenibilidad y la responsabilidad social</w:t>
      </w:r>
      <w:r w:rsidRPr="00F90256">
        <w:rPr>
          <w:rFonts w:ascii="Calibri" w:eastAsia="Times New Roman" w:hAnsi="Calibri" w:cs="Calibri"/>
          <w:bdr w:val="none" w:sz="0" w:space="0" w:color="auto"/>
          <w:lang w:val="es-ES" w:eastAsia="es-ES"/>
        </w:rPr>
        <w:t xml:space="preserve">, como la </w:t>
      </w:r>
      <w:r w:rsidRPr="00F90256">
        <w:rPr>
          <w:rFonts w:ascii="Calibri" w:eastAsia="Times New Roman" w:hAnsi="Calibri" w:cs="Calibri"/>
          <w:b/>
          <w:bCs/>
          <w:bdr w:val="none" w:sz="0" w:space="0" w:color="auto"/>
          <w:lang w:val="es-ES" w:eastAsia="es-ES"/>
        </w:rPr>
        <w:t>instalación de una planta fotovoltaica de 1.731 kWp</w:t>
      </w:r>
      <w:r w:rsidRPr="00F90256">
        <w:rPr>
          <w:rFonts w:ascii="Calibri" w:eastAsia="Times New Roman" w:hAnsi="Calibri" w:cs="Calibri"/>
          <w:bdr w:val="none" w:sz="0" w:space="0" w:color="auto"/>
          <w:lang w:val="es-ES" w:eastAsia="es-ES"/>
        </w:rPr>
        <w:t xml:space="preserve">, la </w:t>
      </w:r>
      <w:r w:rsidRPr="00F90256">
        <w:rPr>
          <w:rFonts w:ascii="Calibri" w:eastAsia="Times New Roman" w:hAnsi="Calibri" w:cs="Calibri"/>
          <w:b/>
          <w:bCs/>
          <w:bdr w:val="none" w:sz="0" w:space="0" w:color="auto"/>
          <w:lang w:val="es-ES" w:eastAsia="es-ES"/>
        </w:rPr>
        <w:t>sustitución de luminarias por tecnología LED</w:t>
      </w:r>
      <w:r w:rsidRPr="00F90256">
        <w:rPr>
          <w:rFonts w:ascii="Calibri" w:eastAsia="Times New Roman" w:hAnsi="Calibri" w:cs="Calibri"/>
          <w:bdr w:val="none" w:sz="0" w:space="0" w:color="auto"/>
          <w:lang w:val="es-ES" w:eastAsia="es-ES"/>
        </w:rPr>
        <w:t xml:space="preserve">, la puesta en marcha de </w:t>
      </w:r>
      <w:r w:rsidRPr="00F90256">
        <w:rPr>
          <w:rFonts w:ascii="Calibri" w:eastAsia="Times New Roman" w:hAnsi="Calibri" w:cs="Calibri"/>
          <w:b/>
          <w:bCs/>
          <w:bdr w:val="none" w:sz="0" w:space="0" w:color="auto"/>
          <w:lang w:val="es-ES" w:eastAsia="es-ES"/>
        </w:rPr>
        <w:t>sistemas eficientes de depuración de aguas</w:t>
      </w:r>
      <w:r w:rsidRPr="00F90256">
        <w:rPr>
          <w:rFonts w:ascii="Calibri" w:eastAsia="Times New Roman" w:hAnsi="Calibri" w:cs="Calibri"/>
          <w:bdr w:val="none" w:sz="0" w:space="0" w:color="auto"/>
          <w:lang w:val="es-ES" w:eastAsia="es-ES"/>
        </w:rPr>
        <w:t xml:space="preserve"> y el uso mayoritario de </w:t>
      </w:r>
      <w:r w:rsidRPr="00F90256">
        <w:rPr>
          <w:rFonts w:ascii="Calibri" w:eastAsia="Times New Roman" w:hAnsi="Calibri" w:cs="Calibri"/>
          <w:b/>
          <w:bCs/>
          <w:bdr w:val="none" w:sz="0" w:space="0" w:color="auto"/>
          <w:lang w:val="es-ES" w:eastAsia="es-ES"/>
        </w:rPr>
        <w:t>envases con al menos un 80 % de plástico reciclado rPET</w:t>
      </w:r>
      <w:r w:rsidRPr="00F90256">
        <w:rPr>
          <w:rFonts w:ascii="Calibri" w:eastAsia="Times New Roman" w:hAnsi="Calibri" w:cs="Calibri"/>
          <w:bdr w:val="none" w:sz="0" w:space="0" w:color="auto"/>
          <w:lang w:val="es-ES" w:eastAsia="es-ES"/>
        </w:rPr>
        <w:t xml:space="preserve">, que en conjunto superan los </w:t>
      </w:r>
      <w:r w:rsidRPr="00F90256">
        <w:rPr>
          <w:rFonts w:ascii="Calibri" w:eastAsia="Times New Roman" w:hAnsi="Calibri" w:cs="Calibri"/>
          <w:b/>
          <w:bCs/>
          <w:bdr w:val="none" w:sz="0" w:space="0" w:color="auto"/>
          <w:lang w:val="es-ES" w:eastAsia="es-ES"/>
        </w:rPr>
        <w:t>11 millones de unidades</w:t>
      </w:r>
      <w:r w:rsidRPr="00F90256">
        <w:rPr>
          <w:rFonts w:ascii="Calibri" w:eastAsia="Times New Roman" w:hAnsi="Calibri" w:cs="Calibri"/>
          <w:bdr w:val="none" w:sz="0" w:space="0" w:color="auto"/>
          <w:lang w:val="es-ES" w:eastAsia="es-ES"/>
        </w:rPr>
        <w:t>.</w:t>
      </w:r>
    </w:p>
    <w:p w14:paraId="3FC4C8C4" w14:textId="77777777" w:rsidR="00F90256" w:rsidRPr="00F90256" w:rsidRDefault="00F90256" w:rsidP="00CE5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F90256">
        <w:rPr>
          <w:rFonts w:ascii="Calibri" w:eastAsia="Times New Roman" w:hAnsi="Calibri" w:cs="Calibri"/>
          <w:bdr w:val="none" w:sz="0" w:space="0" w:color="auto"/>
          <w:lang w:val="es-ES" w:eastAsia="es-ES"/>
        </w:rPr>
        <w:t xml:space="preserve">Según explica </w:t>
      </w:r>
      <w:r w:rsidRPr="00F90256">
        <w:rPr>
          <w:rFonts w:ascii="Calibri" w:eastAsia="Times New Roman" w:hAnsi="Calibri" w:cs="Calibri"/>
          <w:b/>
          <w:bCs/>
          <w:bdr w:val="none" w:sz="0" w:space="0" w:color="auto"/>
          <w:lang w:val="es-ES" w:eastAsia="es-ES"/>
        </w:rPr>
        <w:t>Javier Mancebo, director general de Emcesa</w:t>
      </w:r>
      <w:r w:rsidRPr="00F90256">
        <w:rPr>
          <w:rFonts w:ascii="Calibri" w:eastAsia="Times New Roman" w:hAnsi="Calibri" w:cs="Calibri"/>
          <w:bdr w:val="none" w:sz="0" w:space="0" w:color="auto"/>
          <w:lang w:val="es-ES" w:eastAsia="es-ES"/>
        </w:rPr>
        <w:t>, “la sostenibilidad forma parte de la manera en la que entendemos nuestra actividad industrial. El Plan de Descarbonización refuerza una línea de trabajo basada en la planificación, la eficiencia y la mejora continua”.</w:t>
      </w:r>
    </w:p>
    <w:p w14:paraId="7B56E6BC" w14:textId="77777777" w:rsidR="00F90256" w:rsidRPr="00F90256" w:rsidRDefault="00F90256" w:rsidP="00CE5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F90256">
        <w:rPr>
          <w:rFonts w:ascii="Calibri" w:eastAsia="Times New Roman" w:hAnsi="Calibri" w:cs="Calibri"/>
          <w:bdr w:val="none" w:sz="0" w:space="0" w:color="auto"/>
          <w:lang w:val="es-ES" w:eastAsia="es-ES"/>
        </w:rPr>
        <w:t>Mancebo añade que “las actuaciones previstas nos permiten avanzar de forma ordenada, integrando la sostenibilidad en la toma de decisiones y manteniendo siempre un equilibrio entre eficiencia operativa, competitividad y compromiso con el entorno”.</w:t>
      </w:r>
    </w:p>
    <w:p w14:paraId="4FDEAAD7" w14:textId="77777777" w:rsidR="00F90256" w:rsidRPr="00F90256" w:rsidRDefault="00F90256" w:rsidP="00CE5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F90256">
        <w:rPr>
          <w:rFonts w:ascii="Calibri" w:eastAsia="Times New Roman" w:hAnsi="Calibri" w:cs="Calibri"/>
          <w:bdr w:val="none" w:sz="0" w:space="0" w:color="auto"/>
          <w:lang w:val="es-ES" w:eastAsia="es-ES"/>
        </w:rPr>
        <w:t xml:space="preserve">Con este Plan de Descarbonización, </w:t>
      </w:r>
      <w:r w:rsidRPr="00F90256">
        <w:rPr>
          <w:rFonts w:ascii="Calibri" w:eastAsia="Times New Roman" w:hAnsi="Calibri" w:cs="Calibri"/>
          <w:b/>
          <w:bCs/>
          <w:bdr w:val="none" w:sz="0" w:space="0" w:color="auto"/>
          <w:lang w:val="es-ES" w:eastAsia="es-ES"/>
        </w:rPr>
        <w:t>Emcesa continúa avanzando en su estrategia de sostenibilidad</w:t>
      </w:r>
      <w:r w:rsidRPr="00F90256">
        <w:rPr>
          <w:rFonts w:ascii="Calibri" w:eastAsia="Times New Roman" w:hAnsi="Calibri" w:cs="Calibri"/>
          <w:bdr w:val="none" w:sz="0" w:space="0" w:color="auto"/>
          <w:lang w:val="es-ES" w:eastAsia="es-ES"/>
        </w:rPr>
        <w:t>, consolidando un modelo de gestión basado en datos, planificación y mejora continua, y alineando su actividad industrial con los objetivos de transición energética del sector agroalimentario.</w:t>
      </w:r>
    </w:p>
    <w:p w14:paraId="0D2538DE" w14:textId="2C4CCD5A" w:rsidR="00334B37" w:rsidRPr="00334B37" w:rsidRDefault="00334B37" w:rsidP="00F90256">
      <w:pPr>
        <w:pStyle w:val="NormalWeb"/>
        <w:jc w:val="both"/>
        <w:rPr>
          <w:rFonts w:ascii="Calibri" w:eastAsia="Times New Roman" w:hAnsi="Calibri" w:cs="Calibri"/>
          <w:bdr w:val="none" w:sz="0" w:space="0" w:color="auto"/>
          <w:lang w:val="es-ES" w:eastAsia="es-ES"/>
        </w:rPr>
      </w:pPr>
    </w:p>
    <w:p w14:paraId="3B3A708F" w14:textId="701C30F0" w:rsidR="00020214" w:rsidRDefault="006B6D40">
      <w:pPr>
        <w:pStyle w:val="cuerpo0"/>
        <w:suppressAutoHyphens/>
        <w:spacing w:before="0" w:after="0"/>
        <w:jc w:val="both"/>
      </w:pPr>
      <w:r>
        <w:rPr>
          <w:rStyle w:val="Ninguno"/>
          <w:rFonts w:ascii="Calibri" w:hAnsi="Calibri"/>
        </w:rPr>
        <w:t xml:space="preserve">Más información: Mari Carmen Martínez– </w:t>
      </w:r>
      <w:hyperlink r:id="rId7" w:history="1">
        <w:r>
          <w:rPr>
            <w:rStyle w:val="Hyperlink0"/>
          </w:rPr>
          <w:t>emcesa@agrifood.es</w:t>
        </w:r>
      </w:hyperlink>
    </w:p>
    <w:p w14:paraId="3068A6DA" w14:textId="77777777" w:rsidR="00CE5007" w:rsidRDefault="00CE5007">
      <w:pPr>
        <w:pStyle w:val="cuerpo0"/>
        <w:suppressAutoHyphens/>
        <w:spacing w:before="0" w:after="0"/>
        <w:jc w:val="both"/>
        <w:rPr>
          <w:rStyle w:val="Hyperlink0"/>
        </w:rPr>
      </w:pPr>
    </w:p>
    <w:p w14:paraId="0FED9BDF" w14:textId="77777777" w:rsidR="00135E91" w:rsidRDefault="00135E91">
      <w:pPr>
        <w:pStyle w:val="cuerpo0"/>
        <w:suppressAutoHyphens/>
        <w:spacing w:before="0" w:after="0"/>
        <w:jc w:val="both"/>
        <w:rPr>
          <w:rStyle w:val="Hyperlink0"/>
        </w:rPr>
      </w:pPr>
    </w:p>
    <w:p w14:paraId="39542FA7" w14:textId="77777777" w:rsidR="00020214" w:rsidRPr="002416CE" w:rsidRDefault="006B6D40">
      <w:pPr>
        <w:pStyle w:val="cuerpo0"/>
        <w:shd w:val="clear" w:color="auto" w:fill="FFFFFF"/>
        <w:spacing w:before="0" w:after="0" w:line="276" w:lineRule="auto"/>
        <w:jc w:val="both"/>
        <w:rPr>
          <w:rStyle w:val="Ninguno"/>
          <w:rFonts w:ascii="Calibri" w:eastAsia="Calibri" w:hAnsi="Calibri" w:cs="Calibri"/>
          <w:color w:val="FF0000"/>
          <w:sz w:val="22"/>
          <w:szCs w:val="22"/>
          <w:u w:color="FF0000"/>
        </w:rPr>
      </w:pPr>
      <w:r w:rsidRPr="002416CE">
        <w:rPr>
          <w:rStyle w:val="Ninguno"/>
          <w:rFonts w:ascii="Calibri" w:hAnsi="Calibri"/>
          <w:color w:val="FF0000"/>
          <w:sz w:val="22"/>
          <w:szCs w:val="22"/>
          <w:u w:color="FF0000"/>
        </w:rPr>
        <w:t>Sobre Emcesa (Embutidos del Centro S.A.).</w:t>
      </w:r>
    </w:p>
    <w:p w14:paraId="6DB4E69E" w14:textId="77777777" w:rsidR="00020214" w:rsidRPr="002416CE" w:rsidRDefault="00020214">
      <w:pPr>
        <w:pStyle w:val="cuerpo0"/>
        <w:shd w:val="clear" w:color="auto" w:fill="FFFFFF"/>
        <w:spacing w:before="0" w:after="0" w:line="276" w:lineRule="auto"/>
        <w:jc w:val="both"/>
        <w:rPr>
          <w:rStyle w:val="Ninguno"/>
          <w:rFonts w:ascii="Calibri" w:eastAsia="Calibri" w:hAnsi="Calibri" w:cs="Calibri"/>
          <w:sz w:val="22"/>
          <w:szCs w:val="22"/>
        </w:rPr>
      </w:pPr>
    </w:p>
    <w:p w14:paraId="1490CB75" w14:textId="448A72CA" w:rsidR="002416CE" w:rsidRDefault="006B6D40">
      <w:pPr>
        <w:pStyle w:val="cuerpo0"/>
        <w:spacing w:before="0" w:after="0" w:line="276" w:lineRule="auto"/>
        <w:jc w:val="both"/>
        <w:rPr>
          <w:rStyle w:val="Ninguno"/>
          <w:rFonts w:ascii="Calibri" w:hAnsi="Calibri"/>
          <w:sz w:val="22"/>
          <w:szCs w:val="22"/>
        </w:rPr>
      </w:pPr>
      <w:r w:rsidRPr="002416CE">
        <w:rPr>
          <w:rStyle w:val="Ninguno"/>
          <w:rFonts w:ascii="Calibri" w:hAnsi="Calibri"/>
          <w:sz w:val="22"/>
          <w:szCs w:val="22"/>
        </w:rPr>
        <w:t>Emcesa (</w:t>
      </w:r>
      <w:hyperlink r:id="rId8" w:history="1">
        <w:r w:rsidRPr="002416CE">
          <w:rPr>
            <w:rStyle w:val="Hyperlink1"/>
            <w:sz w:val="22"/>
            <w:szCs w:val="22"/>
          </w:rPr>
          <w:t>www.emcesa.com</w:t>
        </w:r>
      </w:hyperlink>
      <w:r w:rsidRPr="002416CE">
        <w:rPr>
          <w:rStyle w:val="Ninguno"/>
          <w:rFonts w:ascii="Calibri" w:hAnsi="Calibri"/>
          <w:sz w:val="22"/>
          <w:szCs w:val="22"/>
        </w:rPr>
        <w:t>) es una empresa toledana de productos cárnicos, creada en 1986 y dedicada a la elaboración de alimentos de primera calidad utilizando procesos tradicionales al mismo tiempo que innovadores.</w:t>
      </w:r>
      <w:r w:rsidR="00874CCD">
        <w:rPr>
          <w:rStyle w:val="Ninguno"/>
          <w:rFonts w:ascii="Calibri" w:hAnsi="Calibri"/>
          <w:sz w:val="22"/>
          <w:szCs w:val="22"/>
        </w:rPr>
        <w:t xml:space="preserve"> </w:t>
      </w:r>
      <w:r w:rsidRPr="002416CE">
        <w:rPr>
          <w:rStyle w:val="Ninguno"/>
          <w:rFonts w:ascii="Calibri" w:hAnsi="Calibri"/>
          <w:sz w:val="22"/>
          <w:szCs w:val="22"/>
        </w:rPr>
        <w:t>Emcesa llega a muchos puntos de venta y hogares con un amplio portafolio de productos, cubriendo sus necesidades de variedad, alimentación</w:t>
      </w:r>
      <w:r w:rsidRPr="002416CE">
        <w:rPr>
          <w:rStyle w:val="Ninguno"/>
          <w:rFonts w:ascii="Calibri" w:hAnsi="Calibri"/>
          <w:sz w:val="22"/>
          <w:szCs w:val="22"/>
          <w:lang w:val="pt-PT"/>
        </w:rPr>
        <w:t>, nutrici</w:t>
      </w:r>
      <w:r w:rsidRPr="002416CE">
        <w:rPr>
          <w:rStyle w:val="Ninguno"/>
          <w:rFonts w:ascii="Calibri" w:hAnsi="Calibri"/>
          <w:sz w:val="22"/>
          <w:szCs w:val="22"/>
        </w:rPr>
        <w:t xml:space="preserve">ón </w:t>
      </w:r>
    </w:p>
    <w:p w14:paraId="50002A24" w14:textId="038FD397" w:rsidR="00020214" w:rsidRPr="002416CE" w:rsidRDefault="006B6D40">
      <w:pPr>
        <w:pStyle w:val="cuerpo0"/>
        <w:spacing w:before="0" w:after="0" w:line="276" w:lineRule="auto"/>
        <w:jc w:val="both"/>
        <w:rPr>
          <w:sz w:val="22"/>
          <w:szCs w:val="22"/>
        </w:rPr>
      </w:pPr>
      <w:r w:rsidRPr="002416CE">
        <w:rPr>
          <w:rStyle w:val="Ninguno"/>
          <w:rFonts w:ascii="Calibri" w:hAnsi="Calibri"/>
          <w:sz w:val="22"/>
          <w:szCs w:val="22"/>
        </w:rPr>
        <w:t>y bienestar; con un alto compromiso con el medioambiente e incorporando a la empresa alternativas tecnológicas que minimicen el impacto en el entorno y midiendo al mismo tiempo los estándares de calidad sanitaria. Así mismo, se compromete con colectivos con situaciones especiales, destaca la colaboración de forma intensa con la Federación de Asociaciones de Celí</w:t>
      </w:r>
      <w:r w:rsidRPr="002416CE">
        <w:rPr>
          <w:rStyle w:val="Ninguno"/>
          <w:rFonts w:ascii="Calibri" w:hAnsi="Calibri"/>
          <w:sz w:val="22"/>
          <w:szCs w:val="22"/>
          <w:lang w:val="pt-PT"/>
        </w:rPr>
        <w:t xml:space="preserve">acos </w:t>
      </w:r>
      <w:r w:rsidRPr="002416CE">
        <w:rPr>
          <w:rStyle w:val="Ninguno"/>
          <w:rFonts w:ascii="Calibri" w:hAnsi="Calibri"/>
          <w:sz w:val="22"/>
          <w:szCs w:val="22"/>
        </w:rPr>
        <w:t>de España (</w:t>
      </w:r>
      <w:hyperlink r:id="rId9" w:history="1">
        <w:r w:rsidRPr="002416CE">
          <w:rPr>
            <w:rStyle w:val="Hyperlink2"/>
            <w:sz w:val="22"/>
            <w:szCs w:val="22"/>
          </w:rPr>
          <w:t>www.celiacos.org</w:t>
        </w:r>
      </w:hyperlink>
      <w:r w:rsidRPr="002416CE">
        <w:rPr>
          <w:rStyle w:val="Ninguno"/>
          <w:rFonts w:ascii="Calibri" w:hAnsi="Calibri"/>
          <w:sz w:val="22"/>
          <w:szCs w:val="22"/>
        </w:rPr>
        <w:t>).</w:t>
      </w:r>
    </w:p>
    <w:sectPr w:rsidR="00020214" w:rsidRPr="002416CE">
      <w:headerReference w:type="default" r:id="rId10"/>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D2CB" w14:textId="77777777" w:rsidR="002E6BB4" w:rsidRDefault="002E6BB4">
      <w:r>
        <w:separator/>
      </w:r>
    </w:p>
  </w:endnote>
  <w:endnote w:type="continuationSeparator" w:id="0">
    <w:p w14:paraId="3188CF34" w14:textId="77777777" w:rsidR="002E6BB4" w:rsidRDefault="002E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4C5C5" w14:textId="77777777" w:rsidR="002E6BB4" w:rsidRDefault="002E6BB4">
      <w:r>
        <w:separator/>
      </w:r>
    </w:p>
  </w:footnote>
  <w:footnote w:type="continuationSeparator" w:id="0">
    <w:p w14:paraId="4962D164" w14:textId="77777777" w:rsidR="002E6BB4" w:rsidRDefault="002E6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22CE" w14:textId="148C3A9D" w:rsidR="00020214" w:rsidRDefault="005D23F1">
    <w:pPr>
      <w:pStyle w:val="Cabeceraypie"/>
    </w:pPr>
    <w:r>
      <w:rPr>
        <w:rStyle w:val="NingunoA"/>
        <w:noProof/>
      </w:rPr>
      <w:drawing>
        <wp:anchor distT="0" distB="0" distL="0" distR="0" simplePos="0" relativeHeight="251659264" behindDoc="1" locked="0" layoutInCell="1" allowOverlap="1" wp14:anchorId="62B15EA4" wp14:editId="221519B0">
          <wp:simplePos x="0" y="0"/>
          <wp:positionH relativeFrom="page">
            <wp:posOffset>5476875</wp:posOffset>
          </wp:positionH>
          <wp:positionV relativeFrom="page">
            <wp:posOffset>334645</wp:posOffset>
          </wp:positionV>
          <wp:extent cx="1497331" cy="809625"/>
          <wp:effectExtent l="0" t="0" r="0" b="0"/>
          <wp:wrapNone/>
          <wp:docPr id="1" name="officeArt object" descr="Imagen 2"/>
          <wp:cNvGraphicFramePr/>
          <a:graphic xmlns:a="http://schemas.openxmlformats.org/drawingml/2006/main">
            <a:graphicData uri="http://schemas.openxmlformats.org/drawingml/2006/picture">
              <pic:pic xmlns:pic="http://schemas.openxmlformats.org/drawingml/2006/picture">
                <pic:nvPicPr>
                  <pic:cNvPr id="1073741825" name="Imagen 2" descr="Imagen 2"/>
                  <pic:cNvPicPr>
                    <a:picLocks noChangeAspect="1"/>
                  </pic:cNvPicPr>
                </pic:nvPicPr>
                <pic:blipFill>
                  <a:blip r:embed="rId1"/>
                  <a:stretch>
                    <a:fillRect/>
                  </a:stretch>
                </pic:blipFill>
                <pic:spPr>
                  <a:xfrm>
                    <a:off x="0" y="0"/>
                    <a:ext cx="1497331" cy="80962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0EE9"/>
    <w:multiLevelType w:val="hybridMultilevel"/>
    <w:tmpl w:val="80804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1B0F75"/>
    <w:multiLevelType w:val="hybridMultilevel"/>
    <w:tmpl w:val="4D1A6398"/>
    <w:styleLink w:val="Estiloimportado1"/>
    <w:lvl w:ilvl="0" w:tplc="381E60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1052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B48E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D0B8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7642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A081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EC6AB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2EDD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08DA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9F14AD"/>
    <w:multiLevelType w:val="hybridMultilevel"/>
    <w:tmpl w:val="35544D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320D0A"/>
    <w:multiLevelType w:val="multilevel"/>
    <w:tmpl w:val="E1C8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119D6"/>
    <w:multiLevelType w:val="multilevel"/>
    <w:tmpl w:val="D22E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175D6"/>
    <w:multiLevelType w:val="hybridMultilevel"/>
    <w:tmpl w:val="D0887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6817F5"/>
    <w:multiLevelType w:val="multilevel"/>
    <w:tmpl w:val="B202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55219"/>
    <w:multiLevelType w:val="multilevel"/>
    <w:tmpl w:val="A36E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97D40"/>
    <w:multiLevelType w:val="multilevel"/>
    <w:tmpl w:val="B108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F65ECF"/>
    <w:multiLevelType w:val="hybridMultilevel"/>
    <w:tmpl w:val="DADA66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E46B0F"/>
    <w:multiLevelType w:val="hybridMultilevel"/>
    <w:tmpl w:val="EB6AD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49539AD"/>
    <w:multiLevelType w:val="multilevel"/>
    <w:tmpl w:val="B514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CE3577"/>
    <w:multiLevelType w:val="hybridMultilevel"/>
    <w:tmpl w:val="4D1A6398"/>
    <w:numStyleLink w:val="Estiloimportado1"/>
  </w:abstractNum>
  <w:abstractNum w:abstractNumId="13" w15:restartNumberingAfterBreak="0">
    <w:nsid w:val="4EFE21DA"/>
    <w:multiLevelType w:val="hybridMultilevel"/>
    <w:tmpl w:val="B1AA7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4E47112"/>
    <w:multiLevelType w:val="hybridMultilevel"/>
    <w:tmpl w:val="13922A8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74912840"/>
    <w:multiLevelType w:val="hybridMultilevel"/>
    <w:tmpl w:val="90241C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F9138BA"/>
    <w:multiLevelType w:val="multilevel"/>
    <w:tmpl w:val="1172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428890">
    <w:abstractNumId w:val="1"/>
  </w:num>
  <w:num w:numId="2" w16cid:durableId="295140598">
    <w:abstractNumId w:val="12"/>
  </w:num>
  <w:num w:numId="3" w16cid:durableId="2002266863">
    <w:abstractNumId w:val="0"/>
  </w:num>
  <w:num w:numId="4" w16cid:durableId="205335116">
    <w:abstractNumId w:val="11"/>
  </w:num>
  <w:num w:numId="5" w16cid:durableId="417597071">
    <w:abstractNumId w:val="6"/>
  </w:num>
  <w:num w:numId="6" w16cid:durableId="342629347">
    <w:abstractNumId w:val="13"/>
  </w:num>
  <w:num w:numId="7" w16cid:durableId="1545562486">
    <w:abstractNumId w:val="4"/>
  </w:num>
  <w:num w:numId="8" w16cid:durableId="744230168">
    <w:abstractNumId w:val="16"/>
  </w:num>
  <w:num w:numId="9" w16cid:durableId="1395664693">
    <w:abstractNumId w:val="7"/>
  </w:num>
  <w:num w:numId="10" w16cid:durableId="1593970698">
    <w:abstractNumId w:val="10"/>
  </w:num>
  <w:num w:numId="11" w16cid:durableId="1713000312">
    <w:abstractNumId w:val="8"/>
  </w:num>
  <w:num w:numId="12" w16cid:durableId="313026756">
    <w:abstractNumId w:val="3"/>
  </w:num>
  <w:num w:numId="13" w16cid:durableId="479351759">
    <w:abstractNumId w:val="2"/>
  </w:num>
  <w:num w:numId="14" w16cid:durableId="329917605">
    <w:abstractNumId w:val="9"/>
  </w:num>
  <w:num w:numId="15" w16cid:durableId="1940332125">
    <w:abstractNumId w:val="5"/>
  </w:num>
  <w:num w:numId="16" w16cid:durableId="1047144936">
    <w:abstractNumId w:val="14"/>
  </w:num>
  <w:num w:numId="17" w16cid:durableId="4629630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214"/>
    <w:rsid w:val="000113B0"/>
    <w:rsid w:val="00020214"/>
    <w:rsid w:val="00030C05"/>
    <w:rsid w:val="00036616"/>
    <w:rsid w:val="00046EFB"/>
    <w:rsid w:val="000525CD"/>
    <w:rsid w:val="00064740"/>
    <w:rsid w:val="00090D7A"/>
    <w:rsid w:val="00091EC9"/>
    <w:rsid w:val="000A5B80"/>
    <w:rsid w:val="000A70A0"/>
    <w:rsid w:val="000B14D3"/>
    <w:rsid w:val="000B4395"/>
    <w:rsid w:val="000D3022"/>
    <w:rsid w:val="000F30BE"/>
    <w:rsid w:val="00106E3E"/>
    <w:rsid w:val="00112663"/>
    <w:rsid w:val="001162BB"/>
    <w:rsid w:val="00135E91"/>
    <w:rsid w:val="00147C18"/>
    <w:rsid w:val="001622FC"/>
    <w:rsid w:val="00174975"/>
    <w:rsid w:val="00177FEC"/>
    <w:rsid w:val="001859E9"/>
    <w:rsid w:val="0019491D"/>
    <w:rsid w:val="001950E9"/>
    <w:rsid w:val="001B3313"/>
    <w:rsid w:val="001E42A9"/>
    <w:rsid w:val="001E5A9C"/>
    <w:rsid w:val="001E5D35"/>
    <w:rsid w:val="001E5DD9"/>
    <w:rsid w:val="001F0FAF"/>
    <w:rsid w:val="001F1466"/>
    <w:rsid w:val="001F78D2"/>
    <w:rsid w:val="00206BFC"/>
    <w:rsid w:val="002316AC"/>
    <w:rsid w:val="00233929"/>
    <w:rsid w:val="00235713"/>
    <w:rsid w:val="002416CE"/>
    <w:rsid w:val="0027318C"/>
    <w:rsid w:val="0028227C"/>
    <w:rsid w:val="0028243B"/>
    <w:rsid w:val="00285708"/>
    <w:rsid w:val="00292541"/>
    <w:rsid w:val="002E045F"/>
    <w:rsid w:val="002E6BB4"/>
    <w:rsid w:val="002F661B"/>
    <w:rsid w:val="0030069D"/>
    <w:rsid w:val="00313649"/>
    <w:rsid w:val="00314916"/>
    <w:rsid w:val="00325D4D"/>
    <w:rsid w:val="00334B37"/>
    <w:rsid w:val="00341C4F"/>
    <w:rsid w:val="00342260"/>
    <w:rsid w:val="003441AD"/>
    <w:rsid w:val="00352E70"/>
    <w:rsid w:val="0035690F"/>
    <w:rsid w:val="003646A4"/>
    <w:rsid w:val="00390DAA"/>
    <w:rsid w:val="00395D40"/>
    <w:rsid w:val="003A4385"/>
    <w:rsid w:val="003B48D9"/>
    <w:rsid w:val="003B73C0"/>
    <w:rsid w:val="003C2C05"/>
    <w:rsid w:val="003D6ADE"/>
    <w:rsid w:val="003E1040"/>
    <w:rsid w:val="003E41D6"/>
    <w:rsid w:val="003F1149"/>
    <w:rsid w:val="004073BA"/>
    <w:rsid w:val="00414C23"/>
    <w:rsid w:val="00416A77"/>
    <w:rsid w:val="00426098"/>
    <w:rsid w:val="00450292"/>
    <w:rsid w:val="004552C2"/>
    <w:rsid w:val="004622D3"/>
    <w:rsid w:val="004651BA"/>
    <w:rsid w:val="00470E84"/>
    <w:rsid w:val="004A426B"/>
    <w:rsid w:val="004A6377"/>
    <w:rsid w:val="004A66C7"/>
    <w:rsid w:val="004A67B0"/>
    <w:rsid w:val="004A7DBF"/>
    <w:rsid w:val="004B27A6"/>
    <w:rsid w:val="004D2FBE"/>
    <w:rsid w:val="004E42C7"/>
    <w:rsid w:val="004E6505"/>
    <w:rsid w:val="004F6DDB"/>
    <w:rsid w:val="0051396F"/>
    <w:rsid w:val="0053081D"/>
    <w:rsid w:val="00536FF5"/>
    <w:rsid w:val="005531B8"/>
    <w:rsid w:val="00555E9A"/>
    <w:rsid w:val="005565F9"/>
    <w:rsid w:val="005643FF"/>
    <w:rsid w:val="0059781E"/>
    <w:rsid w:val="005C0E2A"/>
    <w:rsid w:val="005C49D0"/>
    <w:rsid w:val="005D23F1"/>
    <w:rsid w:val="005D59F7"/>
    <w:rsid w:val="00601294"/>
    <w:rsid w:val="0060489A"/>
    <w:rsid w:val="00605677"/>
    <w:rsid w:val="00606455"/>
    <w:rsid w:val="00616677"/>
    <w:rsid w:val="006570FB"/>
    <w:rsid w:val="00657B65"/>
    <w:rsid w:val="00670D0B"/>
    <w:rsid w:val="00673EEA"/>
    <w:rsid w:val="00677C0C"/>
    <w:rsid w:val="00697330"/>
    <w:rsid w:val="006A08E8"/>
    <w:rsid w:val="006A1766"/>
    <w:rsid w:val="006B6D40"/>
    <w:rsid w:val="006C5682"/>
    <w:rsid w:val="006D4429"/>
    <w:rsid w:val="006E54CB"/>
    <w:rsid w:val="006F16CF"/>
    <w:rsid w:val="0071233A"/>
    <w:rsid w:val="00723DB4"/>
    <w:rsid w:val="00726AD0"/>
    <w:rsid w:val="0073135D"/>
    <w:rsid w:val="00747D1D"/>
    <w:rsid w:val="00755B4F"/>
    <w:rsid w:val="00766BCC"/>
    <w:rsid w:val="007B2D6F"/>
    <w:rsid w:val="007C5838"/>
    <w:rsid w:val="007D5C15"/>
    <w:rsid w:val="007E1004"/>
    <w:rsid w:val="007E2018"/>
    <w:rsid w:val="008010EA"/>
    <w:rsid w:val="00803D40"/>
    <w:rsid w:val="0080637B"/>
    <w:rsid w:val="00822F93"/>
    <w:rsid w:val="00832687"/>
    <w:rsid w:val="00842248"/>
    <w:rsid w:val="008430D0"/>
    <w:rsid w:val="00845BCA"/>
    <w:rsid w:val="008479EF"/>
    <w:rsid w:val="0085315F"/>
    <w:rsid w:val="008540D6"/>
    <w:rsid w:val="00854B4B"/>
    <w:rsid w:val="008571F5"/>
    <w:rsid w:val="00864FC0"/>
    <w:rsid w:val="00871047"/>
    <w:rsid w:val="00874CCD"/>
    <w:rsid w:val="00874D35"/>
    <w:rsid w:val="00890F41"/>
    <w:rsid w:val="00891C9F"/>
    <w:rsid w:val="008B4A5F"/>
    <w:rsid w:val="008C3177"/>
    <w:rsid w:val="008E59A2"/>
    <w:rsid w:val="009069F9"/>
    <w:rsid w:val="00916576"/>
    <w:rsid w:val="00934E48"/>
    <w:rsid w:val="00935663"/>
    <w:rsid w:val="00941CE7"/>
    <w:rsid w:val="0094358F"/>
    <w:rsid w:val="00952000"/>
    <w:rsid w:val="009534DC"/>
    <w:rsid w:val="00954B74"/>
    <w:rsid w:val="009624CD"/>
    <w:rsid w:val="009B32D6"/>
    <w:rsid w:val="009B5568"/>
    <w:rsid w:val="009B679A"/>
    <w:rsid w:val="009C42D1"/>
    <w:rsid w:val="009C4F8F"/>
    <w:rsid w:val="009D20FF"/>
    <w:rsid w:val="00A05DF2"/>
    <w:rsid w:val="00A10093"/>
    <w:rsid w:val="00A14A08"/>
    <w:rsid w:val="00A21542"/>
    <w:rsid w:val="00A51EF3"/>
    <w:rsid w:val="00A539ED"/>
    <w:rsid w:val="00A74B1C"/>
    <w:rsid w:val="00A9736D"/>
    <w:rsid w:val="00AA2AAF"/>
    <w:rsid w:val="00AA6210"/>
    <w:rsid w:val="00AB73FB"/>
    <w:rsid w:val="00AD2C38"/>
    <w:rsid w:val="00AE4160"/>
    <w:rsid w:val="00B25205"/>
    <w:rsid w:val="00B412EB"/>
    <w:rsid w:val="00B55198"/>
    <w:rsid w:val="00B64B4C"/>
    <w:rsid w:val="00B65025"/>
    <w:rsid w:val="00B67283"/>
    <w:rsid w:val="00B7315D"/>
    <w:rsid w:val="00B73F1D"/>
    <w:rsid w:val="00B82C7C"/>
    <w:rsid w:val="00B9052E"/>
    <w:rsid w:val="00B945B0"/>
    <w:rsid w:val="00BA6310"/>
    <w:rsid w:val="00BD0BE6"/>
    <w:rsid w:val="00C061E5"/>
    <w:rsid w:val="00C0705B"/>
    <w:rsid w:val="00C20E1E"/>
    <w:rsid w:val="00C430F0"/>
    <w:rsid w:val="00C435F7"/>
    <w:rsid w:val="00C461AB"/>
    <w:rsid w:val="00C728D0"/>
    <w:rsid w:val="00C97FBC"/>
    <w:rsid w:val="00CA1D53"/>
    <w:rsid w:val="00CC62E1"/>
    <w:rsid w:val="00CE2158"/>
    <w:rsid w:val="00CE5007"/>
    <w:rsid w:val="00CE6A0F"/>
    <w:rsid w:val="00D1032D"/>
    <w:rsid w:val="00D1435C"/>
    <w:rsid w:val="00D24F3F"/>
    <w:rsid w:val="00D53A09"/>
    <w:rsid w:val="00D56015"/>
    <w:rsid w:val="00D878A0"/>
    <w:rsid w:val="00D96651"/>
    <w:rsid w:val="00DA224F"/>
    <w:rsid w:val="00DB11F2"/>
    <w:rsid w:val="00DC2AAB"/>
    <w:rsid w:val="00DC7841"/>
    <w:rsid w:val="00DE7610"/>
    <w:rsid w:val="00E20DAE"/>
    <w:rsid w:val="00E32BD2"/>
    <w:rsid w:val="00E37F4E"/>
    <w:rsid w:val="00E44DBF"/>
    <w:rsid w:val="00E61502"/>
    <w:rsid w:val="00E8080F"/>
    <w:rsid w:val="00E90E5A"/>
    <w:rsid w:val="00EA49DD"/>
    <w:rsid w:val="00EB104C"/>
    <w:rsid w:val="00EC2072"/>
    <w:rsid w:val="00EC6464"/>
    <w:rsid w:val="00ED2850"/>
    <w:rsid w:val="00EF0D61"/>
    <w:rsid w:val="00EF5F60"/>
    <w:rsid w:val="00F27EB5"/>
    <w:rsid w:val="00F559EC"/>
    <w:rsid w:val="00F6041E"/>
    <w:rsid w:val="00F62B24"/>
    <w:rsid w:val="00F90256"/>
    <w:rsid w:val="00FB7940"/>
    <w:rsid w:val="00FC233C"/>
    <w:rsid w:val="00FD6093"/>
    <w:rsid w:val="00FE66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0CB83"/>
  <w15:docId w15:val="{18764F29-0B28-4039-8C22-C53C113A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rPr>
  </w:style>
  <w:style w:type="character" w:customStyle="1" w:styleId="Ninguno">
    <w:name w:val="Ninguno"/>
  </w:style>
  <w:style w:type="character" w:customStyle="1" w:styleId="NingunoA">
    <w:name w:val="Ninguno A"/>
    <w:basedOn w:val="Ninguno"/>
  </w:style>
  <w:style w:type="paragraph" w:styleId="Prrafodelista">
    <w:name w:val="List Paragraph"/>
    <w:pPr>
      <w:ind w:left="720"/>
    </w:pPr>
    <w:rPr>
      <w:rFonts w:cs="Arial Unicode MS"/>
      <w:color w:val="000000"/>
      <w:sz w:val="24"/>
      <w:szCs w:val="24"/>
      <w:u w:color="000000"/>
      <w:lang w:val="en-US"/>
    </w:rPr>
  </w:style>
  <w:style w:type="numbering" w:customStyle="1" w:styleId="Estiloimportado1">
    <w:name w:val="Estilo importado 1"/>
    <w:pPr>
      <w:numPr>
        <w:numId w:val="1"/>
      </w:numPr>
    </w:pPr>
  </w:style>
  <w:style w:type="paragraph" w:customStyle="1" w:styleId="Cuerpo">
    <w:name w:val="Cuerpo"/>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CuerpoB">
    <w:name w:val="Cuerpo B"/>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paragraph" w:customStyle="1" w:styleId="cuerpo0">
    <w:name w:val="cuerpo"/>
    <w:pPr>
      <w:spacing w:before="100" w:after="100"/>
    </w:pPr>
    <w:rPr>
      <w:rFonts w:cs="Arial Unicode MS"/>
      <w:color w:val="000000"/>
      <w:sz w:val="24"/>
      <w:szCs w:val="24"/>
      <w:u w:color="000000"/>
      <w:lang w:val="es-ES_tradnl"/>
    </w:rPr>
  </w:style>
  <w:style w:type="character" w:customStyle="1" w:styleId="Hyperlink0">
    <w:name w:val="Hyperlink.0"/>
    <w:basedOn w:val="Ninguno"/>
    <w:rPr>
      <w:rFonts w:ascii="Calibri" w:eastAsia="Calibri" w:hAnsi="Calibri" w:cs="Calibri"/>
      <w:b/>
      <w:bCs/>
      <w:outline w:val="0"/>
      <w:color w:val="0000FF"/>
      <w:u w:val="single" w:color="0000FF"/>
    </w:rPr>
  </w:style>
  <w:style w:type="character" w:customStyle="1" w:styleId="Hyperlink1">
    <w:name w:val="Hyperlink.1"/>
    <w:basedOn w:val="Ninguno"/>
    <w:rPr>
      <w:outline w:val="0"/>
      <w:color w:val="0000FF"/>
      <w:u w:val="single" w:color="0000FF"/>
      <w:lang w:val="es-ES_tradnl"/>
    </w:rPr>
  </w:style>
  <w:style w:type="character" w:customStyle="1" w:styleId="Hyperlink2">
    <w:name w:val="Hyperlink.2"/>
    <w:basedOn w:val="Ninguno"/>
    <w:rPr>
      <w:rFonts w:ascii="Calibri" w:eastAsia="Calibri" w:hAnsi="Calibri" w:cs="Calibri"/>
      <w:outline w:val="0"/>
      <w:color w:val="0000FF"/>
      <w:sz w:val="20"/>
      <w:szCs w:val="20"/>
      <w:u w:val="single" w:color="0000FF"/>
      <w:lang w:val="es-ES_tradnl"/>
    </w:rPr>
  </w:style>
  <w:style w:type="paragraph" w:styleId="Revisin">
    <w:name w:val="Revision"/>
    <w:hidden/>
    <w:uiPriority w:val="99"/>
    <w:semiHidden/>
    <w:rsid w:val="00E90E5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Encabezado">
    <w:name w:val="header"/>
    <w:basedOn w:val="Normal"/>
    <w:link w:val="EncabezadoCar"/>
    <w:uiPriority w:val="99"/>
    <w:unhideWhenUsed/>
    <w:rsid w:val="005D23F1"/>
    <w:pPr>
      <w:tabs>
        <w:tab w:val="center" w:pos="4252"/>
        <w:tab w:val="right" w:pos="8504"/>
      </w:tabs>
    </w:pPr>
  </w:style>
  <w:style w:type="character" w:customStyle="1" w:styleId="EncabezadoCar">
    <w:name w:val="Encabezado Car"/>
    <w:basedOn w:val="Fuentedeprrafopredeter"/>
    <w:link w:val="Encabezado"/>
    <w:uiPriority w:val="99"/>
    <w:rsid w:val="005D23F1"/>
    <w:rPr>
      <w:sz w:val="24"/>
      <w:szCs w:val="24"/>
      <w:lang w:val="en-US" w:eastAsia="en-US"/>
    </w:rPr>
  </w:style>
  <w:style w:type="paragraph" w:styleId="Piedepgina">
    <w:name w:val="footer"/>
    <w:basedOn w:val="Normal"/>
    <w:link w:val="PiedepginaCar"/>
    <w:uiPriority w:val="99"/>
    <w:unhideWhenUsed/>
    <w:rsid w:val="005D23F1"/>
    <w:pPr>
      <w:tabs>
        <w:tab w:val="center" w:pos="4252"/>
        <w:tab w:val="right" w:pos="8504"/>
      </w:tabs>
    </w:pPr>
  </w:style>
  <w:style w:type="character" w:customStyle="1" w:styleId="PiedepginaCar">
    <w:name w:val="Pie de página Car"/>
    <w:basedOn w:val="Fuentedeprrafopredeter"/>
    <w:link w:val="Piedepgina"/>
    <w:uiPriority w:val="99"/>
    <w:rsid w:val="005D23F1"/>
    <w:rPr>
      <w:sz w:val="24"/>
      <w:szCs w:val="24"/>
      <w:lang w:val="en-US" w:eastAsia="en-US"/>
    </w:rPr>
  </w:style>
  <w:style w:type="character" w:styleId="Mencinsinresolver">
    <w:name w:val="Unresolved Mention"/>
    <w:basedOn w:val="Fuentedeprrafopredeter"/>
    <w:uiPriority w:val="99"/>
    <w:semiHidden/>
    <w:unhideWhenUsed/>
    <w:rsid w:val="00B55198"/>
    <w:rPr>
      <w:color w:val="605E5C"/>
      <w:shd w:val="clear" w:color="auto" w:fill="E1DFDD"/>
    </w:rPr>
  </w:style>
  <w:style w:type="paragraph" w:styleId="Textodeglobo">
    <w:name w:val="Balloon Text"/>
    <w:basedOn w:val="Normal"/>
    <w:link w:val="TextodegloboCar"/>
    <w:uiPriority w:val="99"/>
    <w:semiHidden/>
    <w:unhideWhenUsed/>
    <w:rsid w:val="001E5DD9"/>
    <w:rPr>
      <w:sz w:val="18"/>
      <w:szCs w:val="18"/>
    </w:rPr>
  </w:style>
  <w:style w:type="character" w:customStyle="1" w:styleId="TextodegloboCar">
    <w:name w:val="Texto de globo Car"/>
    <w:basedOn w:val="Fuentedeprrafopredeter"/>
    <w:link w:val="Textodeglobo"/>
    <w:uiPriority w:val="99"/>
    <w:semiHidden/>
    <w:rsid w:val="001E5DD9"/>
    <w:rPr>
      <w:sz w:val="18"/>
      <w:szCs w:val="18"/>
      <w:lang w:val="en-US" w:eastAsia="en-US"/>
    </w:rPr>
  </w:style>
  <w:style w:type="paragraph" w:styleId="NormalWeb">
    <w:name w:val="Normal (Web)"/>
    <w:basedOn w:val="Normal"/>
    <w:uiPriority w:val="99"/>
    <w:unhideWhenUsed/>
    <w:rsid w:val="00090D7A"/>
  </w:style>
  <w:style w:type="paragraph" w:customStyle="1" w:styleId="isselectedend">
    <w:name w:val="isselectedend"/>
    <w:basedOn w:val="Normal"/>
    <w:rsid w:val="00747D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6294">
      <w:bodyDiv w:val="1"/>
      <w:marLeft w:val="0"/>
      <w:marRight w:val="0"/>
      <w:marTop w:val="0"/>
      <w:marBottom w:val="0"/>
      <w:divBdr>
        <w:top w:val="none" w:sz="0" w:space="0" w:color="auto"/>
        <w:left w:val="none" w:sz="0" w:space="0" w:color="auto"/>
        <w:bottom w:val="none" w:sz="0" w:space="0" w:color="auto"/>
        <w:right w:val="none" w:sz="0" w:space="0" w:color="auto"/>
      </w:divBdr>
    </w:div>
    <w:div w:id="87770408">
      <w:bodyDiv w:val="1"/>
      <w:marLeft w:val="0"/>
      <w:marRight w:val="0"/>
      <w:marTop w:val="0"/>
      <w:marBottom w:val="0"/>
      <w:divBdr>
        <w:top w:val="none" w:sz="0" w:space="0" w:color="auto"/>
        <w:left w:val="none" w:sz="0" w:space="0" w:color="auto"/>
        <w:bottom w:val="none" w:sz="0" w:space="0" w:color="auto"/>
        <w:right w:val="none" w:sz="0" w:space="0" w:color="auto"/>
      </w:divBdr>
    </w:div>
    <w:div w:id="197083896">
      <w:bodyDiv w:val="1"/>
      <w:marLeft w:val="0"/>
      <w:marRight w:val="0"/>
      <w:marTop w:val="0"/>
      <w:marBottom w:val="0"/>
      <w:divBdr>
        <w:top w:val="none" w:sz="0" w:space="0" w:color="auto"/>
        <w:left w:val="none" w:sz="0" w:space="0" w:color="auto"/>
        <w:bottom w:val="none" w:sz="0" w:space="0" w:color="auto"/>
        <w:right w:val="none" w:sz="0" w:space="0" w:color="auto"/>
      </w:divBdr>
      <w:divsChild>
        <w:div w:id="1200627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490539">
      <w:bodyDiv w:val="1"/>
      <w:marLeft w:val="0"/>
      <w:marRight w:val="0"/>
      <w:marTop w:val="0"/>
      <w:marBottom w:val="0"/>
      <w:divBdr>
        <w:top w:val="none" w:sz="0" w:space="0" w:color="auto"/>
        <w:left w:val="none" w:sz="0" w:space="0" w:color="auto"/>
        <w:bottom w:val="none" w:sz="0" w:space="0" w:color="auto"/>
        <w:right w:val="none" w:sz="0" w:space="0" w:color="auto"/>
      </w:divBdr>
      <w:divsChild>
        <w:div w:id="193265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3672849">
      <w:bodyDiv w:val="1"/>
      <w:marLeft w:val="0"/>
      <w:marRight w:val="0"/>
      <w:marTop w:val="0"/>
      <w:marBottom w:val="0"/>
      <w:divBdr>
        <w:top w:val="none" w:sz="0" w:space="0" w:color="auto"/>
        <w:left w:val="none" w:sz="0" w:space="0" w:color="auto"/>
        <w:bottom w:val="none" w:sz="0" w:space="0" w:color="auto"/>
        <w:right w:val="none" w:sz="0" w:space="0" w:color="auto"/>
      </w:divBdr>
    </w:div>
    <w:div w:id="1831939804">
      <w:bodyDiv w:val="1"/>
      <w:marLeft w:val="0"/>
      <w:marRight w:val="0"/>
      <w:marTop w:val="0"/>
      <w:marBottom w:val="0"/>
      <w:divBdr>
        <w:top w:val="none" w:sz="0" w:space="0" w:color="auto"/>
        <w:left w:val="none" w:sz="0" w:space="0" w:color="auto"/>
        <w:bottom w:val="none" w:sz="0" w:space="0" w:color="auto"/>
        <w:right w:val="none" w:sz="0" w:space="0" w:color="auto"/>
      </w:divBdr>
    </w:div>
    <w:div w:id="1916739495">
      <w:bodyDiv w:val="1"/>
      <w:marLeft w:val="0"/>
      <w:marRight w:val="0"/>
      <w:marTop w:val="0"/>
      <w:marBottom w:val="0"/>
      <w:divBdr>
        <w:top w:val="none" w:sz="0" w:space="0" w:color="auto"/>
        <w:left w:val="none" w:sz="0" w:space="0" w:color="auto"/>
        <w:bottom w:val="none" w:sz="0" w:space="0" w:color="auto"/>
        <w:right w:val="none" w:sz="0" w:space="0" w:color="auto"/>
      </w:divBdr>
    </w:div>
    <w:div w:id="1934849834">
      <w:bodyDiv w:val="1"/>
      <w:marLeft w:val="0"/>
      <w:marRight w:val="0"/>
      <w:marTop w:val="0"/>
      <w:marBottom w:val="0"/>
      <w:divBdr>
        <w:top w:val="none" w:sz="0" w:space="0" w:color="auto"/>
        <w:left w:val="none" w:sz="0" w:space="0" w:color="auto"/>
        <w:bottom w:val="none" w:sz="0" w:space="0" w:color="auto"/>
        <w:right w:val="none" w:sz="0" w:space="0" w:color="auto"/>
      </w:divBdr>
      <w:divsChild>
        <w:div w:id="283118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cesa.com" TargetMode="External"/><Relationship Id="rId3" Type="http://schemas.openxmlformats.org/officeDocument/2006/relationships/settings" Target="settings.xml"/><Relationship Id="rId7" Type="http://schemas.openxmlformats.org/officeDocument/2006/relationships/hyperlink" Target="mailto:emcesa@agrifood.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liaco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935</Words>
  <Characters>5144</Characters>
  <Application>Microsoft Office Word</Application>
  <DocSecurity>4</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del Carmen Martínez</dc:creator>
  <cp:lastModifiedBy>María del Carmen Martínez</cp:lastModifiedBy>
  <cp:revision>2</cp:revision>
  <dcterms:created xsi:type="dcterms:W3CDTF">2026-02-12T09:08:00Z</dcterms:created>
  <dcterms:modified xsi:type="dcterms:W3CDTF">2026-02-12T09:08:00Z</dcterms:modified>
</cp:coreProperties>
</file>