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E044" w14:textId="4299229A" w:rsidR="0076025D" w:rsidRDefault="00900572" w:rsidP="00E301F6">
      <w:pPr>
        <w:spacing w:after="0"/>
        <w:jc w:val="center"/>
        <w:rPr>
          <w:rFonts w:ascii="Rubik" w:hAnsi="Rubik" w:cs="Rubik"/>
          <w:i/>
          <w:iCs/>
        </w:rPr>
      </w:pPr>
      <w:r w:rsidRPr="00900572">
        <w:rPr>
          <w:rFonts w:ascii="Rubik" w:hAnsi="Rubik" w:cs="Rubik"/>
          <w:b/>
          <w:sz w:val="36"/>
          <w:szCs w:val="36"/>
        </w:rPr>
        <w:t xml:space="preserve">Un estudio </w:t>
      </w:r>
      <w:r w:rsidR="003B12B5">
        <w:rPr>
          <w:rFonts w:ascii="Rubik" w:hAnsi="Rubik" w:cs="Rubik"/>
          <w:b/>
          <w:sz w:val="36"/>
          <w:szCs w:val="36"/>
        </w:rPr>
        <w:t>concluye</w:t>
      </w:r>
      <w:r w:rsidRPr="00900572">
        <w:rPr>
          <w:rFonts w:ascii="Rubik" w:hAnsi="Rubik" w:cs="Rubik"/>
          <w:b/>
          <w:sz w:val="36"/>
          <w:szCs w:val="36"/>
        </w:rPr>
        <w:t xml:space="preserve"> que la leche enriquecida </w:t>
      </w:r>
      <w:r w:rsidR="0014645C">
        <w:rPr>
          <w:rFonts w:ascii="Rubik" w:hAnsi="Rubik" w:cs="Rubik"/>
          <w:b/>
          <w:sz w:val="36"/>
          <w:szCs w:val="36"/>
        </w:rPr>
        <w:t>con calcio y vitamina D</w:t>
      </w:r>
      <w:r w:rsidR="0014645C" w:rsidRPr="00900572">
        <w:rPr>
          <w:rFonts w:ascii="Rubik" w:hAnsi="Rubik" w:cs="Rubik"/>
          <w:b/>
          <w:sz w:val="36"/>
          <w:szCs w:val="36"/>
        </w:rPr>
        <w:t xml:space="preserve"> </w:t>
      </w:r>
      <w:r w:rsidRPr="00900572">
        <w:rPr>
          <w:rFonts w:ascii="Rubik" w:hAnsi="Rubik" w:cs="Rubik"/>
          <w:b/>
          <w:sz w:val="36"/>
          <w:szCs w:val="36"/>
        </w:rPr>
        <w:t>calcio mejora la densidad ósea y el equilibrio metabólico en mujeres posmenopáusicas</w:t>
      </w:r>
      <w:r w:rsidR="001A04E9">
        <w:rPr>
          <w:rFonts w:ascii="Rubik" w:hAnsi="Rubik" w:cs="Rubik"/>
          <w:b/>
          <w:sz w:val="36"/>
          <w:szCs w:val="36"/>
        </w:rPr>
        <w:br/>
      </w:r>
      <w:r w:rsidR="001A04E9">
        <w:rPr>
          <w:rFonts w:ascii="Rubik" w:hAnsi="Rubik" w:cs="Rubik"/>
          <w:i/>
          <w:iCs/>
        </w:rPr>
        <w:t xml:space="preserve"> </w:t>
      </w:r>
      <w:r w:rsidR="00663A2C">
        <w:rPr>
          <w:rFonts w:ascii="Rubik" w:hAnsi="Rubik" w:cs="Rubik"/>
          <w:i/>
          <w:iCs/>
        </w:rPr>
        <w:br/>
      </w:r>
      <w:r w:rsidR="003B12B5" w:rsidRPr="003B12B5">
        <w:rPr>
          <w:rFonts w:ascii="Rubik" w:hAnsi="Rubik" w:cs="Rubik"/>
          <w:i/>
          <w:iCs/>
        </w:rPr>
        <w:t xml:space="preserve">La intervención también favorece </w:t>
      </w:r>
      <w:proofErr w:type="gramStart"/>
      <w:r w:rsidR="003B12B5" w:rsidRPr="003B12B5">
        <w:rPr>
          <w:rFonts w:ascii="Rubik" w:hAnsi="Rubik" w:cs="Rubik"/>
          <w:i/>
          <w:iCs/>
        </w:rPr>
        <w:t>una microbiota más saludable</w:t>
      </w:r>
      <w:proofErr w:type="gramEnd"/>
      <w:r w:rsidR="003B12B5" w:rsidRPr="003B12B5">
        <w:rPr>
          <w:rFonts w:ascii="Rubik" w:hAnsi="Rubik" w:cs="Rubik"/>
          <w:i/>
          <w:iCs/>
        </w:rPr>
        <w:t xml:space="preserve"> y una mejor regulación hormonal, reforzando su potencial como estrategia nutricional preventiva frente a la osteoporosis</w:t>
      </w:r>
    </w:p>
    <w:p w14:paraId="476A9F24" w14:textId="77777777" w:rsidR="00663A2C" w:rsidRPr="00B86C3E" w:rsidRDefault="00663A2C" w:rsidP="00E301F6">
      <w:pPr>
        <w:spacing w:after="0"/>
        <w:jc w:val="center"/>
        <w:rPr>
          <w:rFonts w:ascii="Rubik" w:hAnsi="Rubik" w:cs="Rubik"/>
          <w:i/>
          <w:iCs/>
          <w:sz w:val="24"/>
          <w:szCs w:val="24"/>
        </w:rPr>
      </w:pPr>
    </w:p>
    <w:p w14:paraId="29A6E8B1" w14:textId="36978E4B" w:rsidR="003B12B5" w:rsidRPr="003B12B5" w:rsidRDefault="00FD16CB" w:rsidP="003B12B5">
      <w:pPr>
        <w:jc w:val="both"/>
        <w:rPr>
          <w:rFonts w:ascii="Rubik" w:hAnsi="Rubik" w:cs="Rubik"/>
        </w:rPr>
      </w:pPr>
      <w:r>
        <w:rPr>
          <w:rFonts w:ascii="Rubik" w:hAnsi="Rubik" w:cs="Rubik"/>
          <w:b/>
          <w:bCs/>
        </w:rPr>
        <w:t>Madrid</w:t>
      </w:r>
      <w:r w:rsidR="007756B3" w:rsidRPr="00B86C3E">
        <w:rPr>
          <w:rFonts w:ascii="Rubik" w:hAnsi="Rubik" w:cs="Rubik"/>
          <w:b/>
          <w:bCs/>
        </w:rPr>
        <w:t xml:space="preserve">, </w:t>
      </w:r>
      <w:r w:rsidR="00E44397">
        <w:rPr>
          <w:rFonts w:ascii="Rubik" w:hAnsi="Rubik" w:cs="Rubik"/>
          <w:b/>
          <w:bCs/>
        </w:rPr>
        <w:t>11</w:t>
      </w:r>
      <w:r w:rsidR="00B86C3E">
        <w:rPr>
          <w:rFonts w:ascii="Rubik" w:hAnsi="Rubik" w:cs="Rubik"/>
          <w:b/>
          <w:bCs/>
        </w:rPr>
        <w:t xml:space="preserve"> d</w:t>
      </w:r>
      <w:r w:rsidR="007756B3" w:rsidRPr="00B86C3E">
        <w:rPr>
          <w:rFonts w:ascii="Rubik" w:hAnsi="Rubik" w:cs="Rubik"/>
          <w:b/>
          <w:bCs/>
        </w:rPr>
        <w:t xml:space="preserve">e </w:t>
      </w:r>
      <w:r w:rsidR="003B12B5">
        <w:rPr>
          <w:rFonts w:ascii="Rubik" w:hAnsi="Rubik" w:cs="Rubik"/>
          <w:b/>
          <w:bCs/>
        </w:rPr>
        <w:t>febrero</w:t>
      </w:r>
      <w:r w:rsidR="007756B3" w:rsidRPr="00B86C3E">
        <w:rPr>
          <w:rFonts w:ascii="Rubik" w:hAnsi="Rubik" w:cs="Rubik"/>
          <w:b/>
          <w:bCs/>
        </w:rPr>
        <w:t xml:space="preserve"> de 202</w:t>
      </w:r>
      <w:r w:rsidR="0076025D">
        <w:rPr>
          <w:rFonts w:ascii="Rubik" w:hAnsi="Rubik" w:cs="Rubik"/>
          <w:b/>
          <w:bCs/>
        </w:rPr>
        <w:t>6</w:t>
      </w:r>
      <w:r w:rsidR="007756B3" w:rsidRPr="00B86C3E">
        <w:rPr>
          <w:rFonts w:ascii="Rubik" w:hAnsi="Rubik" w:cs="Rubik"/>
          <w:b/>
          <w:bCs/>
        </w:rPr>
        <w:t>.-</w:t>
      </w:r>
      <w:r w:rsidR="007756B3" w:rsidRPr="00B86C3E">
        <w:rPr>
          <w:rFonts w:ascii="Rubik" w:hAnsi="Rubik" w:cs="Rubik"/>
        </w:rPr>
        <w:t xml:space="preserve"> </w:t>
      </w:r>
      <w:r w:rsidR="003B12B5" w:rsidRPr="003B12B5">
        <w:rPr>
          <w:rFonts w:ascii="Rubik" w:hAnsi="Rubik" w:cs="Rubik"/>
        </w:rPr>
        <w:t>Un estudio reciente</w:t>
      </w:r>
      <w:r w:rsidR="00F4744B">
        <w:rPr>
          <w:rStyle w:val="Refdenotaalpie"/>
          <w:rFonts w:ascii="Rubik" w:hAnsi="Rubik" w:cs="Rubik"/>
        </w:rPr>
        <w:footnoteReference w:id="1"/>
      </w:r>
      <w:r w:rsidR="003B12B5" w:rsidRPr="003B12B5">
        <w:rPr>
          <w:rFonts w:ascii="Rubik" w:hAnsi="Rubik" w:cs="Rubik"/>
        </w:rPr>
        <w:t xml:space="preserve"> ha analizado los efectos del consumo diario de leche enriquecida en calcio y vitamina D en mujeres posmenopáusicas, observando mejoras significativas en la densidad mineral ósea, la composición </w:t>
      </w:r>
      <w:proofErr w:type="gramStart"/>
      <w:r w:rsidR="003B12B5" w:rsidRPr="003B12B5">
        <w:rPr>
          <w:rFonts w:ascii="Rubik" w:hAnsi="Rubik" w:cs="Rubik"/>
        </w:rPr>
        <w:t>de la microbiota intestinal</w:t>
      </w:r>
      <w:proofErr w:type="gramEnd"/>
      <w:r w:rsidR="003B12B5" w:rsidRPr="003B12B5">
        <w:rPr>
          <w:rFonts w:ascii="Rubik" w:hAnsi="Rubik" w:cs="Rubik"/>
        </w:rPr>
        <w:t xml:space="preserve"> y la regulación hormonal vinculada al metabolismo del hueso. La investigación aporta nuevos argumentos para considerar la leche fortificada como una estrategia sencilla, viable y segura para prevenir la pérdida ósea que afecta a esta población.</w:t>
      </w:r>
    </w:p>
    <w:p w14:paraId="033988E6" w14:textId="74B5513F" w:rsidR="003B12B5" w:rsidRPr="003B12B5" w:rsidRDefault="003B12B5" w:rsidP="003B12B5">
      <w:pPr>
        <w:jc w:val="both"/>
        <w:rPr>
          <w:rFonts w:ascii="Rubik" w:hAnsi="Rubik" w:cs="Rubik"/>
        </w:rPr>
      </w:pPr>
    </w:p>
    <w:p w14:paraId="514594AE" w14:textId="77777777" w:rsidR="003B12B5" w:rsidRPr="003B12B5" w:rsidRDefault="003B12B5" w:rsidP="003B12B5">
      <w:pPr>
        <w:jc w:val="both"/>
        <w:rPr>
          <w:rFonts w:ascii="Rubik" w:hAnsi="Rubik" w:cs="Rubik"/>
          <w:b/>
          <w:bCs/>
        </w:rPr>
      </w:pPr>
      <w:r w:rsidRPr="003B12B5">
        <w:rPr>
          <w:rFonts w:ascii="Rubik" w:hAnsi="Rubik" w:cs="Rubik"/>
          <w:b/>
          <w:bCs/>
        </w:rPr>
        <w:t>La osteoporosis posmenopáusica: un reto creciente con impacto en salud y calidad de vida</w:t>
      </w:r>
    </w:p>
    <w:p w14:paraId="7565A8BB" w14:textId="77777777" w:rsidR="003B12B5" w:rsidRPr="003B12B5" w:rsidRDefault="003B12B5" w:rsidP="003B12B5">
      <w:pPr>
        <w:jc w:val="both"/>
        <w:rPr>
          <w:rFonts w:ascii="Rubik" w:hAnsi="Rubik" w:cs="Rubik"/>
        </w:rPr>
      </w:pPr>
      <w:r w:rsidRPr="003B12B5">
        <w:rPr>
          <w:rFonts w:ascii="Rubik" w:hAnsi="Rubik" w:cs="Rubik"/>
        </w:rPr>
        <w:t>La osteoporosis es una enfermedad metabólica caracterizada por la disminución progresiva de la densidad mineral ósea y el deterioro de la microarquitectura del hueso, lo que incrementa de forma notable el riesgo de fracturas. Afecta especialmente a mujeres a partir de la menopausia, etapa en la que la drástica reducción de estrógenos acelera la pérdida ósea. Según estimaciones epidemiológicas, entre el 9 % y el 38 % de las mujeres posmenopáusicas desarrollará osteoporosis, un fenómeno que repercute directamente en su autonomía, movilidad y bienestar.</w:t>
      </w:r>
    </w:p>
    <w:p w14:paraId="580716C0" w14:textId="456BD4B3" w:rsidR="003B12B5" w:rsidRPr="003B12B5" w:rsidRDefault="003B12B5" w:rsidP="003B12B5">
      <w:pPr>
        <w:jc w:val="both"/>
        <w:rPr>
          <w:rFonts w:ascii="Rubik" w:hAnsi="Rubik" w:cs="Rubik"/>
        </w:rPr>
      </w:pPr>
      <w:r w:rsidRPr="003B12B5">
        <w:rPr>
          <w:rFonts w:ascii="Rubik" w:hAnsi="Rubik" w:cs="Rubik"/>
        </w:rPr>
        <w:t xml:space="preserve">Entre los principales factores de riesgo destacan la baja ingesta de calcio y vitamina D, dos micronutrientes esenciales para la formación y mantenimiento del hueso. La leche constituye una de las fuentes más completas y biodisponibles de calcio, proteínas y péptidos bioactivos. Sin embargo, existe aún poca evidencia específica sobre el efecto de la </w:t>
      </w:r>
      <w:r w:rsidRPr="003B12B5">
        <w:rPr>
          <w:rFonts w:ascii="Rubik" w:hAnsi="Rubik" w:cs="Rubik"/>
          <w:b/>
          <w:bCs/>
        </w:rPr>
        <w:t>leche enriquecida en calcio</w:t>
      </w:r>
      <w:r w:rsidRPr="003B12B5">
        <w:rPr>
          <w:rFonts w:ascii="Rubik" w:hAnsi="Rubik" w:cs="Rubik"/>
        </w:rPr>
        <w:t>, lo que ha impulsado la investigación científica en esta línea.</w:t>
      </w:r>
    </w:p>
    <w:p w14:paraId="2300B7AB" w14:textId="27E30584" w:rsidR="003B12B5" w:rsidRPr="003B12B5" w:rsidRDefault="003B12B5" w:rsidP="003B12B5">
      <w:pPr>
        <w:jc w:val="both"/>
        <w:rPr>
          <w:rFonts w:ascii="Rubik" w:hAnsi="Rubik" w:cs="Rubik"/>
        </w:rPr>
      </w:pPr>
    </w:p>
    <w:p w14:paraId="6D92CE85" w14:textId="77777777" w:rsidR="003B12B5" w:rsidRPr="003B12B5" w:rsidRDefault="003B12B5" w:rsidP="003B12B5">
      <w:pPr>
        <w:jc w:val="both"/>
        <w:rPr>
          <w:rFonts w:ascii="Rubik" w:hAnsi="Rubik" w:cs="Rubik"/>
          <w:b/>
          <w:bCs/>
        </w:rPr>
      </w:pPr>
      <w:r w:rsidRPr="003B12B5">
        <w:rPr>
          <w:rFonts w:ascii="Rubik" w:hAnsi="Rubik" w:cs="Rubik"/>
          <w:b/>
          <w:bCs/>
        </w:rPr>
        <w:t>El estudio: un año completo evaluando hueso, microbiota y metabolismo hormonal</w:t>
      </w:r>
    </w:p>
    <w:p w14:paraId="3409B562" w14:textId="77777777" w:rsidR="003B12B5" w:rsidRPr="003B12B5" w:rsidRDefault="003B12B5" w:rsidP="003B12B5">
      <w:pPr>
        <w:jc w:val="both"/>
        <w:rPr>
          <w:rFonts w:ascii="Rubik" w:hAnsi="Rubik" w:cs="Rubik"/>
        </w:rPr>
      </w:pPr>
      <w:r w:rsidRPr="003B12B5">
        <w:rPr>
          <w:rFonts w:ascii="Rubik" w:hAnsi="Rubik" w:cs="Rubik"/>
        </w:rPr>
        <w:t xml:space="preserve">El trabajo, publicado en </w:t>
      </w:r>
      <w:proofErr w:type="spellStart"/>
      <w:r w:rsidRPr="003B12B5">
        <w:rPr>
          <w:rFonts w:ascii="Rubik" w:hAnsi="Rubik" w:cs="Rubik"/>
          <w:i/>
          <w:iCs/>
        </w:rPr>
        <w:t>Frontiers</w:t>
      </w:r>
      <w:proofErr w:type="spellEnd"/>
      <w:r w:rsidRPr="003B12B5">
        <w:rPr>
          <w:rFonts w:ascii="Rubik" w:hAnsi="Rubik" w:cs="Rubik"/>
          <w:i/>
          <w:iCs/>
        </w:rPr>
        <w:t xml:space="preserve"> in </w:t>
      </w:r>
      <w:proofErr w:type="spellStart"/>
      <w:r w:rsidRPr="003B12B5">
        <w:rPr>
          <w:rFonts w:ascii="Rubik" w:hAnsi="Rubik" w:cs="Rubik"/>
          <w:i/>
          <w:iCs/>
        </w:rPr>
        <w:t>Nutrition</w:t>
      </w:r>
      <w:proofErr w:type="spellEnd"/>
      <w:r w:rsidRPr="003B12B5">
        <w:rPr>
          <w:rFonts w:ascii="Rubik" w:hAnsi="Rubik" w:cs="Rubik"/>
        </w:rPr>
        <w:t xml:space="preserve">, analizó durante 12 meses el impacto del consumo diario de </w:t>
      </w:r>
      <w:r w:rsidRPr="003B12B5">
        <w:rPr>
          <w:rFonts w:ascii="Rubik" w:hAnsi="Rubik" w:cs="Rubik"/>
          <w:b/>
          <w:bCs/>
        </w:rPr>
        <w:t xml:space="preserve">400 </w:t>
      </w:r>
      <w:proofErr w:type="spellStart"/>
      <w:r w:rsidRPr="003B12B5">
        <w:rPr>
          <w:rFonts w:ascii="Rubik" w:hAnsi="Rubik" w:cs="Rubik"/>
          <w:b/>
          <w:bCs/>
        </w:rPr>
        <w:t>mL</w:t>
      </w:r>
      <w:proofErr w:type="spellEnd"/>
      <w:r w:rsidRPr="003B12B5">
        <w:rPr>
          <w:rFonts w:ascii="Rubik" w:hAnsi="Rubik" w:cs="Rubik"/>
          <w:b/>
          <w:bCs/>
        </w:rPr>
        <w:t xml:space="preserve"> de leche enriquecida con calcio y vitamina D</w:t>
      </w:r>
      <w:r w:rsidRPr="003B12B5">
        <w:rPr>
          <w:rFonts w:ascii="Rubik" w:hAnsi="Rubik" w:cs="Rubik"/>
        </w:rPr>
        <w:t xml:space="preserve"> en mujeres posmenopáusicas. Además de la densidad mineral ósea (DMO), se evaluaron múltiples parámetros para comprender de forma integrada el efecto de esta intervención:</w:t>
      </w:r>
    </w:p>
    <w:p w14:paraId="73804E2F" w14:textId="77777777" w:rsidR="003B12B5" w:rsidRPr="003B12B5" w:rsidRDefault="003B12B5" w:rsidP="003B12B5">
      <w:pPr>
        <w:numPr>
          <w:ilvl w:val="0"/>
          <w:numId w:val="6"/>
        </w:numPr>
        <w:jc w:val="both"/>
        <w:rPr>
          <w:rFonts w:ascii="Rubik" w:hAnsi="Rubik" w:cs="Rubik"/>
        </w:rPr>
      </w:pPr>
      <w:r w:rsidRPr="003B12B5">
        <w:rPr>
          <w:rFonts w:ascii="Rubik" w:hAnsi="Rubik" w:cs="Rubik"/>
        </w:rPr>
        <w:t>Cambios en la DMO de columna lumbar, cadera y cuello femoral.</w:t>
      </w:r>
    </w:p>
    <w:p w14:paraId="1C445C42" w14:textId="77777777" w:rsidR="003B12B5" w:rsidRPr="003B12B5" w:rsidRDefault="003B12B5" w:rsidP="003B12B5">
      <w:pPr>
        <w:numPr>
          <w:ilvl w:val="0"/>
          <w:numId w:val="6"/>
        </w:numPr>
        <w:jc w:val="both"/>
        <w:rPr>
          <w:rFonts w:ascii="Rubik" w:hAnsi="Rubik" w:cs="Rubik"/>
        </w:rPr>
      </w:pPr>
      <w:r w:rsidRPr="003B12B5">
        <w:rPr>
          <w:rFonts w:ascii="Rubik" w:hAnsi="Rubik" w:cs="Rubik"/>
        </w:rPr>
        <w:t>Marcadores bioquímicos de formación y resorción ósea.</w:t>
      </w:r>
    </w:p>
    <w:p w14:paraId="05941B22" w14:textId="77777777" w:rsidR="003B12B5" w:rsidRPr="003B12B5" w:rsidRDefault="003B12B5" w:rsidP="003B12B5">
      <w:pPr>
        <w:numPr>
          <w:ilvl w:val="0"/>
          <w:numId w:val="6"/>
        </w:numPr>
        <w:jc w:val="both"/>
        <w:rPr>
          <w:rFonts w:ascii="Rubik" w:hAnsi="Rubik" w:cs="Rubik"/>
        </w:rPr>
      </w:pPr>
      <w:r w:rsidRPr="003B12B5">
        <w:rPr>
          <w:rFonts w:ascii="Rubik" w:hAnsi="Rubik" w:cs="Rubik"/>
        </w:rPr>
        <w:t>Composición del microbioma intestinal.</w:t>
      </w:r>
    </w:p>
    <w:p w14:paraId="1DE1A1F3" w14:textId="77777777" w:rsidR="003B12B5" w:rsidRPr="003B12B5" w:rsidRDefault="003B12B5" w:rsidP="003B12B5">
      <w:pPr>
        <w:numPr>
          <w:ilvl w:val="0"/>
          <w:numId w:val="6"/>
        </w:numPr>
        <w:jc w:val="both"/>
        <w:rPr>
          <w:rFonts w:ascii="Rubik" w:hAnsi="Rubik" w:cs="Rubik"/>
        </w:rPr>
      </w:pPr>
      <w:proofErr w:type="spellStart"/>
      <w:r w:rsidRPr="003B12B5">
        <w:rPr>
          <w:rFonts w:ascii="Rubik" w:hAnsi="Rubik" w:cs="Rubik"/>
        </w:rPr>
        <w:lastRenderedPageBreak/>
        <w:t>Metaboloma</w:t>
      </w:r>
      <w:proofErr w:type="spellEnd"/>
      <w:r w:rsidRPr="003B12B5">
        <w:rPr>
          <w:rFonts w:ascii="Rubik" w:hAnsi="Rubik" w:cs="Rubik"/>
        </w:rPr>
        <w:t xml:space="preserve"> intestinal y sérico, incluyendo la biosíntesis de hormonas esteroides y rutas metabólicas relacionadas con inflamación y renovación ósea.</w:t>
      </w:r>
    </w:p>
    <w:p w14:paraId="740E9C66" w14:textId="77777777" w:rsidR="003B12B5" w:rsidRPr="003B12B5" w:rsidRDefault="003B12B5" w:rsidP="003B12B5">
      <w:pPr>
        <w:jc w:val="both"/>
        <w:rPr>
          <w:rFonts w:ascii="Rubik" w:hAnsi="Rubik" w:cs="Rubik"/>
        </w:rPr>
      </w:pPr>
      <w:r w:rsidRPr="003B12B5">
        <w:rPr>
          <w:rFonts w:ascii="Rubik" w:hAnsi="Rubik" w:cs="Rubik"/>
        </w:rPr>
        <w:t xml:space="preserve">La autora del contenido divulgativo asociado, </w:t>
      </w:r>
      <w:r w:rsidRPr="003B12B5">
        <w:rPr>
          <w:rFonts w:ascii="Rubik" w:hAnsi="Rubik" w:cs="Rubik"/>
          <w:b/>
          <w:bCs/>
        </w:rPr>
        <w:t>Jennifer Bernal, doctora en Nutrición y Ciencias Interdisciplinarias y colaboradora de la Fundación Iberoamericana de Nutrición (FINUT)</w:t>
      </w:r>
      <w:r w:rsidRPr="003B12B5">
        <w:rPr>
          <w:rFonts w:ascii="Rubik" w:hAnsi="Rubik" w:cs="Rubik"/>
        </w:rPr>
        <w:t>, destaca que “este estudio muestra que una intervención tan sencilla como consumir leche fortificada puede generar mejoras simultáneas en densidad ósea, microbiota y metabolismo hormonal, lo que abre nuevas perspectivas para el abordaje preventivo de la osteoporosis”.</w:t>
      </w:r>
    </w:p>
    <w:p w14:paraId="6F92ECF0" w14:textId="4B576754" w:rsidR="003B12B5" w:rsidRPr="003B12B5" w:rsidRDefault="003B12B5" w:rsidP="003B12B5">
      <w:pPr>
        <w:jc w:val="both"/>
        <w:rPr>
          <w:rFonts w:ascii="Rubik" w:hAnsi="Rubik" w:cs="Rubik"/>
        </w:rPr>
      </w:pPr>
    </w:p>
    <w:p w14:paraId="7298A500" w14:textId="77777777" w:rsidR="003B12B5" w:rsidRPr="003B12B5" w:rsidRDefault="003B12B5" w:rsidP="003B12B5">
      <w:pPr>
        <w:jc w:val="both"/>
        <w:rPr>
          <w:rFonts w:ascii="Rubik" w:hAnsi="Rubik" w:cs="Rubik"/>
          <w:b/>
          <w:bCs/>
        </w:rPr>
      </w:pPr>
      <w:r w:rsidRPr="003B12B5">
        <w:rPr>
          <w:rFonts w:ascii="Rubik" w:hAnsi="Rubik" w:cs="Rubik"/>
          <w:b/>
          <w:bCs/>
        </w:rPr>
        <w:t>Resultados principales: más densidad ósea, mejor microbiota y un metabolismo hormonal más favorable</w:t>
      </w:r>
    </w:p>
    <w:p w14:paraId="64FEEDE7" w14:textId="77777777" w:rsidR="003B12B5" w:rsidRPr="003B12B5" w:rsidRDefault="003B12B5" w:rsidP="003B12B5">
      <w:pPr>
        <w:jc w:val="both"/>
        <w:rPr>
          <w:rFonts w:ascii="Rubik" w:hAnsi="Rubik" w:cs="Rubik"/>
          <w:b/>
          <w:bCs/>
        </w:rPr>
      </w:pPr>
      <w:r w:rsidRPr="003B12B5">
        <w:rPr>
          <w:rFonts w:ascii="Rubik" w:hAnsi="Rubik" w:cs="Rubik"/>
          <w:b/>
          <w:bCs/>
        </w:rPr>
        <w:t>1. Incremento de la densidad mineral ósea</w:t>
      </w:r>
    </w:p>
    <w:p w14:paraId="22F9AF54" w14:textId="77777777" w:rsidR="003B12B5" w:rsidRPr="003B12B5" w:rsidRDefault="003B12B5" w:rsidP="003B12B5">
      <w:pPr>
        <w:jc w:val="both"/>
        <w:rPr>
          <w:rFonts w:ascii="Rubik" w:hAnsi="Rubik" w:cs="Rubik"/>
        </w:rPr>
      </w:pPr>
      <w:r w:rsidRPr="003B12B5">
        <w:rPr>
          <w:rFonts w:ascii="Rubik" w:hAnsi="Rubik" w:cs="Rubik"/>
        </w:rPr>
        <w:t>Las participantes que consumieron la leche enriquecida experimentaron un aumento significativo de la DMO en columna y cadera, regiones críticas en la valoración del riesgo de fracturas. Este hallazgo sugiere una mejora de la fortaleza ósea y una reducción del deterioro estructural característico de la etapa posmenopáusica.</w:t>
      </w:r>
    </w:p>
    <w:p w14:paraId="5FC7FF62" w14:textId="77777777" w:rsidR="003B12B5" w:rsidRPr="003B12B5" w:rsidRDefault="003B12B5" w:rsidP="003B12B5">
      <w:pPr>
        <w:jc w:val="both"/>
        <w:rPr>
          <w:rFonts w:ascii="Rubik" w:hAnsi="Rubik" w:cs="Rubik"/>
          <w:b/>
          <w:bCs/>
        </w:rPr>
      </w:pPr>
      <w:r w:rsidRPr="003B12B5">
        <w:rPr>
          <w:rFonts w:ascii="Rubik" w:hAnsi="Rubik" w:cs="Rubik"/>
          <w:b/>
          <w:bCs/>
        </w:rPr>
        <w:t>2. Menor pérdida ósea a lo largo del tratamiento</w:t>
      </w:r>
    </w:p>
    <w:p w14:paraId="169D3296" w14:textId="77777777" w:rsidR="003B12B5" w:rsidRPr="003B12B5" w:rsidRDefault="003B12B5" w:rsidP="003B12B5">
      <w:pPr>
        <w:jc w:val="both"/>
        <w:rPr>
          <w:rFonts w:ascii="Rubik" w:hAnsi="Rubik" w:cs="Rubik"/>
        </w:rPr>
      </w:pPr>
      <w:r w:rsidRPr="003B12B5">
        <w:rPr>
          <w:rFonts w:ascii="Rubik" w:hAnsi="Rubik" w:cs="Rubik"/>
        </w:rPr>
        <w:t xml:space="preserve">Comparadas con el grupo que consumió leche no fortificada, las mujeres del grupo enriquecido mostraron una menor pérdida de masa ósea. La diferencia se observó tanto en mediciones </w:t>
      </w:r>
      <w:proofErr w:type="spellStart"/>
      <w:r w:rsidRPr="003B12B5">
        <w:rPr>
          <w:rFonts w:ascii="Rubik" w:hAnsi="Rubik" w:cs="Rubik"/>
        </w:rPr>
        <w:t>densitométricas</w:t>
      </w:r>
      <w:proofErr w:type="spellEnd"/>
      <w:r w:rsidRPr="003B12B5">
        <w:rPr>
          <w:rFonts w:ascii="Rubik" w:hAnsi="Rubik" w:cs="Rubik"/>
        </w:rPr>
        <w:t xml:space="preserve"> como en marcadores bioquímicos asociados al metabolismo óseo.</w:t>
      </w:r>
    </w:p>
    <w:p w14:paraId="27AA721F" w14:textId="77777777" w:rsidR="003B12B5" w:rsidRPr="003B12B5" w:rsidRDefault="003B12B5" w:rsidP="003B12B5">
      <w:pPr>
        <w:jc w:val="both"/>
        <w:rPr>
          <w:rFonts w:ascii="Rubik" w:hAnsi="Rubik" w:cs="Rubik"/>
          <w:b/>
          <w:bCs/>
        </w:rPr>
      </w:pPr>
      <w:r w:rsidRPr="003B12B5">
        <w:rPr>
          <w:rFonts w:ascii="Rubik" w:hAnsi="Rubik" w:cs="Rubik"/>
          <w:b/>
          <w:bCs/>
        </w:rPr>
        <w:t>3. Mejores niveles de vitamina D, calcio y fósforo en sangre</w:t>
      </w:r>
    </w:p>
    <w:p w14:paraId="50E8C9A1" w14:textId="77777777" w:rsidR="003B12B5" w:rsidRPr="003B12B5" w:rsidRDefault="003B12B5" w:rsidP="003B12B5">
      <w:pPr>
        <w:jc w:val="both"/>
        <w:rPr>
          <w:rFonts w:ascii="Rubik" w:hAnsi="Rubik" w:cs="Rubik"/>
        </w:rPr>
      </w:pPr>
      <w:r w:rsidRPr="003B12B5">
        <w:rPr>
          <w:rFonts w:ascii="Rubik" w:hAnsi="Rubik" w:cs="Rubik"/>
        </w:rPr>
        <w:t>Tras la intervención, las mujeres del grupo fortificado presentaron niveles superiores de vitamina D, calcio y fósforo, nutrientes esenciales para la mineralización del hueso. Esta mejora favorece un mayor aprovechamiento del calcio incorporado y contribuye a mantener un equilibrio adecuado entre formación y degradación ósea.</w:t>
      </w:r>
    </w:p>
    <w:p w14:paraId="0D8C1270" w14:textId="77777777" w:rsidR="003B12B5" w:rsidRPr="003B12B5" w:rsidRDefault="003B12B5" w:rsidP="003B12B5">
      <w:pPr>
        <w:jc w:val="both"/>
        <w:rPr>
          <w:rFonts w:ascii="Rubik" w:hAnsi="Rubik" w:cs="Rubik"/>
          <w:b/>
          <w:bCs/>
        </w:rPr>
      </w:pPr>
      <w:r w:rsidRPr="003B12B5">
        <w:rPr>
          <w:rFonts w:ascii="Rubik" w:hAnsi="Rubik" w:cs="Rubik"/>
          <w:b/>
          <w:bCs/>
        </w:rPr>
        <w:t xml:space="preserve">4. Beneficios sobre </w:t>
      </w:r>
      <w:proofErr w:type="gramStart"/>
      <w:r w:rsidRPr="003B12B5">
        <w:rPr>
          <w:rFonts w:ascii="Rubik" w:hAnsi="Rubik" w:cs="Rubik"/>
          <w:b/>
          <w:bCs/>
        </w:rPr>
        <w:t>la microbiota intestinal</w:t>
      </w:r>
      <w:proofErr w:type="gramEnd"/>
    </w:p>
    <w:p w14:paraId="51AC0A35" w14:textId="77777777" w:rsidR="003B12B5" w:rsidRPr="003B12B5" w:rsidRDefault="003B12B5" w:rsidP="003B12B5">
      <w:pPr>
        <w:jc w:val="both"/>
        <w:rPr>
          <w:rFonts w:ascii="Rubik" w:hAnsi="Rubik" w:cs="Rubik"/>
        </w:rPr>
      </w:pPr>
      <w:r w:rsidRPr="003B12B5">
        <w:rPr>
          <w:rFonts w:ascii="Rubik" w:hAnsi="Rubik" w:cs="Rubik"/>
        </w:rPr>
        <w:t xml:space="preserve">La intervención con leche enriquecida aumentó la presencia de bacterias beneficiosas como </w:t>
      </w:r>
      <w:proofErr w:type="spellStart"/>
      <w:r w:rsidRPr="003B12B5">
        <w:rPr>
          <w:rFonts w:ascii="Rubik" w:hAnsi="Rubik" w:cs="Rubik"/>
          <w:b/>
          <w:bCs/>
        </w:rPr>
        <w:t>Bacteroides</w:t>
      </w:r>
      <w:proofErr w:type="spellEnd"/>
      <w:r w:rsidRPr="003B12B5">
        <w:rPr>
          <w:rFonts w:ascii="Rubik" w:hAnsi="Rubik" w:cs="Rubik"/>
        </w:rPr>
        <w:t xml:space="preserve"> y </w:t>
      </w:r>
      <w:proofErr w:type="spellStart"/>
      <w:r w:rsidRPr="003B12B5">
        <w:rPr>
          <w:rFonts w:ascii="Rubik" w:hAnsi="Rubik" w:cs="Rubik"/>
          <w:b/>
          <w:bCs/>
        </w:rPr>
        <w:t>Subdoligranulum</w:t>
      </w:r>
      <w:proofErr w:type="spellEnd"/>
      <w:r w:rsidRPr="003B12B5">
        <w:rPr>
          <w:rFonts w:ascii="Rubik" w:hAnsi="Rubik" w:cs="Rubik"/>
        </w:rPr>
        <w:t xml:space="preserve">, asociadas con una mejor digestión, absorción de minerales y equilibrio metabólico. Se identificó además una correlación positiva entre ciertas bacterias intestinales y la densidad ósea, lo que refuerza el papel del eje intestino-hueso en la prevención de enfermedades </w:t>
      </w:r>
      <w:proofErr w:type="spellStart"/>
      <w:r w:rsidRPr="003B12B5">
        <w:rPr>
          <w:rFonts w:ascii="Rubik" w:hAnsi="Rubik" w:cs="Rubik"/>
        </w:rPr>
        <w:t>osteometabólicas</w:t>
      </w:r>
      <w:proofErr w:type="spellEnd"/>
      <w:r w:rsidRPr="003B12B5">
        <w:rPr>
          <w:rFonts w:ascii="Rubik" w:hAnsi="Rubik" w:cs="Rubik"/>
        </w:rPr>
        <w:t>.</w:t>
      </w:r>
    </w:p>
    <w:p w14:paraId="501083F2" w14:textId="77777777" w:rsidR="003B12B5" w:rsidRPr="003B12B5" w:rsidRDefault="003B12B5" w:rsidP="003B12B5">
      <w:pPr>
        <w:jc w:val="both"/>
        <w:rPr>
          <w:rFonts w:ascii="Rubik" w:hAnsi="Rubik" w:cs="Rubik"/>
          <w:b/>
          <w:bCs/>
        </w:rPr>
      </w:pPr>
      <w:r w:rsidRPr="003B12B5">
        <w:rPr>
          <w:rFonts w:ascii="Rubik" w:hAnsi="Rubik" w:cs="Rubik"/>
          <w:b/>
          <w:bCs/>
        </w:rPr>
        <w:t>5. Regulación de hormonas esteroides y rutas metabólicas relacionadas con el hueso</w:t>
      </w:r>
    </w:p>
    <w:p w14:paraId="24A2BBF3" w14:textId="77777777" w:rsidR="003B12B5" w:rsidRPr="003B12B5" w:rsidRDefault="003B12B5" w:rsidP="003B12B5">
      <w:pPr>
        <w:jc w:val="both"/>
        <w:rPr>
          <w:rFonts w:ascii="Rubik" w:hAnsi="Rubik" w:cs="Rubik"/>
        </w:rPr>
      </w:pPr>
      <w:r w:rsidRPr="003B12B5">
        <w:rPr>
          <w:rFonts w:ascii="Rubik" w:hAnsi="Rubik" w:cs="Rubik"/>
        </w:rPr>
        <w:t>El estudio detectó mejoras en la biosíntesis de hormonas esteroides —entre ellas el estrógeno—, cuya disminución es una de las principales causas de la pérdida ósea posmenopáusica. También se observaron efectos positivos sobre rutas metabólicas implicadas en inflamación y regeneración del tejido óseo, lo que sugiere un beneficio sistémico más allá del aporte mineral.</w:t>
      </w:r>
    </w:p>
    <w:p w14:paraId="1211155F" w14:textId="77777777" w:rsidR="003B12B5" w:rsidRPr="003B12B5" w:rsidRDefault="003B12B5" w:rsidP="003B12B5">
      <w:pPr>
        <w:jc w:val="both"/>
        <w:rPr>
          <w:rFonts w:ascii="Rubik" w:hAnsi="Rubik" w:cs="Rubik"/>
          <w:b/>
          <w:bCs/>
        </w:rPr>
      </w:pPr>
      <w:r w:rsidRPr="003B12B5">
        <w:rPr>
          <w:rFonts w:ascii="Rubik" w:hAnsi="Rubik" w:cs="Rubik"/>
          <w:b/>
          <w:bCs/>
        </w:rPr>
        <w:t>6. Beneficios también en el grupo de leche no fortificada</w:t>
      </w:r>
    </w:p>
    <w:p w14:paraId="346DAAEA" w14:textId="77777777" w:rsidR="003B12B5" w:rsidRPr="003B12B5" w:rsidRDefault="003B12B5" w:rsidP="003B12B5">
      <w:pPr>
        <w:jc w:val="both"/>
        <w:rPr>
          <w:rFonts w:ascii="Rubik" w:hAnsi="Rubik" w:cs="Rubik"/>
        </w:rPr>
      </w:pPr>
      <w:r w:rsidRPr="003B12B5">
        <w:rPr>
          <w:rFonts w:ascii="Rubik" w:hAnsi="Rubik" w:cs="Rubik"/>
        </w:rPr>
        <w:t>Aunque en menor magnitud, el grupo que consumió leche común también presentó un aumento del calcio sanguíneo (3,8 % a los seis meses), confirmando que el consumo regular de leche contribuye de forma general a la salud ósea.</w:t>
      </w:r>
    </w:p>
    <w:p w14:paraId="6E429ED5" w14:textId="77777777" w:rsidR="003B12B5" w:rsidRPr="003B12B5" w:rsidRDefault="003B12B5" w:rsidP="003B12B5">
      <w:pPr>
        <w:jc w:val="both"/>
        <w:rPr>
          <w:rFonts w:ascii="Rubik" w:hAnsi="Rubik" w:cs="Rubik"/>
          <w:b/>
          <w:bCs/>
        </w:rPr>
      </w:pPr>
      <w:r w:rsidRPr="003B12B5">
        <w:rPr>
          <w:rFonts w:ascii="Rubik" w:hAnsi="Rubik" w:cs="Rubik"/>
          <w:b/>
          <w:bCs/>
        </w:rPr>
        <w:lastRenderedPageBreak/>
        <w:t>7. Buena tolerancia y ausencia de efectos adversos</w:t>
      </w:r>
    </w:p>
    <w:p w14:paraId="0CD44AB1" w14:textId="77777777" w:rsidR="003B12B5" w:rsidRPr="003B12B5" w:rsidRDefault="003B12B5" w:rsidP="003B12B5">
      <w:pPr>
        <w:jc w:val="both"/>
        <w:rPr>
          <w:rFonts w:ascii="Rubik" w:hAnsi="Rubik" w:cs="Rubik"/>
        </w:rPr>
      </w:pPr>
      <w:r w:rsidRPr="003B12B5">
        <w:rPr>
          <w:rFonts w:ascii="Rubik" w:hAnsi="Rubik" w:cs="Rubik"/>
        </w:rPr>
        <w:t>Ninguno de los grupos registró incremento en la ingesta de grasas ni aumento de peso corporal. La leche enriquecida fue bien tolerada, sin efectos adversos, lo que respalda su uso dentro de una dieta equilibrada.</w:t>
      </w:r>
    </w:p>
    <w:p w14:paraId="47421EC6" w14:textId="7323DB34" w:rsidR="003B12B5" w:rsidRPr="003B12B5" w:rsidRDefault="003B12B5" w:rsidP="003B12B5">
      <w:pPr>
        <w:jc w:val="both"/>
        <w:rPr>
          <w:rFonts w:ascii="Rubik" w:hAnsi="Rubik" w:cs="Rubik"/>
        </w:rPr>
      </w:pPr>
    </w:p>
    <w:p w14:paraId="4EA36DCB" w14:textId="77777777" w:rsidR="003B12B5" w:rsidRPr="003B12B5" w:rsidRDefault="003B12B5" w:rsidP="003B12B5">
      <w:pPr>
        <w:jc w:val="both"/>
        <w:rPr>
          <w:rFonts w:ascii="Rubik" w:hAnsi="Rubik" w:cs="Rubik"/>
          <w:b/>
          <w:bCs/>
        </w:rPr>
      </w:pPr>
      <w:r w:rsidRPr="003B12B5">
        <w:rPr>
          <w:rFonts w:ascii="Rubik" w:hAnsi="Rubik" w:cs="Rubik"/>
          <w:b/>
          <w:bCs/>
        </w:rPr>
        <w:t>Aplicabilidad práctica: una estrategia nutricional complementaria, segura y accesible</w:t>
      </w:r>
    </w:p>
    <w:p w14:paraId="6EB7D2BE" w14:textId="77777777" w:rsidR="003B12B5" w:rsidRPr="003B12B5" w:rsidRDefault="003B12B5" w:rsidP="003B12B5">
      <w:pPr>
        <w:jc w:val="both"/>
        <w:rPr>
          <w:rFonts w:ascii="Rubik" w:hAnsi="Rubik" w:cs="Rubik"/>
        </w:rPr>
      </w:pPr>
      <w:r w:rsidRPr="003B12B5">
        <w:rPr>
          <w:rFonts w:ascii="Rubik" w:hAnsi="Rubik" w:cs="Rubik"/>
        </w:rPr>
        <w:t>A partir de los resultados, la leche enriquecida en calcio y vitamina D se presenta como:</w:t>
      </w:r>
    </w:p>
    <w:p w14:paraId="1D1CC69A" w14:textId="77777777" w:rsidR="003B12B5" w:rsidRPr="003B12B5" w:rsidRDefault="003B12B5" w:rsidP="003B12B5">
      <w:pPr>
        <w:numPr>
          <w:ilvl w:val="0"/>
          <w:numId w:val="7"/>
        </w:numPr>
        <w:jc w:val="both"/>
        <w:rPr>
          <w:rFonts w:ascii="Rubik" w:hAnsi="Rubik" w:cs="Rubik"/>
        </w:rPr>
      </w:pPr>
      <w:r w:rsidRPr="003B12B5">
        <w:rPr>
          <w:rFonts w:ascii="Rubik" w:hAnsi="Rubik" w:cs="Rubik"/>
          <w:b/>
          <w:bCs/>
        </w:rPr>
        <w:t>Una intervención fácil de integrar</w:t>
      </w:r>
      <w:r w:rsidRPr="003B12B5">
        <w:rPr>
          <w:rFonts w:ascii="Rubik" w:hAnsi="Rubik" w:cs="Rubik"/>
        </w:rPr>
        <w:t xml:space="preserve"> en la rutina diaria, sin requerir cambios drásticos en la dieta.</w:t>
      </w:r>
    </w:p>
    <w:p w14:paraId="73FBB3EB" w14:textId="77777777" w:rsidR="003B12B5" w:rsidRPr="003B12B5" w:rsidRDefault="003B12B5" w:rsidP="003B12B5">
      <w:pPr>
        <w:numPr>
          <w:ilvl w:val="0"/>
          <w:numId w:val="7"/>
        </w:numPr>
        <w:jc w:val="both"/>
        <w:rPr>
          <w:rFonts w:ascii="Rubik" w:hAnsi="Rubik" w:cs="Rubik"/>
        </w:rPr>
      </w:pPr>
      <w:r w:rsidRPr="003B12B5">
        <w:rPr>
          <w:rFonts w:ascii="Rubik" w:hAnsi="Rubik" w:cs="Rubik"/>
          <w:b/>
          <w:bCs/>
        </w:rPr>
        <w:t>Una opción segura y bien tolerada</w:t>
      </w:r>
      <w:r w:rsidRPr="003B12B5">
        <w:rPr>
          <w:rFonts w:ascii="Rubik" w:hAnsi="Rubik" w:cs="Rubik"/>
        </w:rPr>
        <w:t>, adecuada para consumo regular.</w:t>
      </w:r>
    </w:p>
    <w:p w14:paraId="1A32447F" w14:textId="77777777" w:rsidR="003B12B5" w:rsidRPr="003B12B5" w:rsidRDefault="003B12B5" w:rsidP="003B12B5">
      <w:pPr>
        <w:numPr>
          <w:ilvl w:val="0"/>
          <w:numId w:val="7"/>
        </w:numPr>
        <w:jc w:val="both"/>
        <w:rPr>
          <w:rFonts w:ascii="Rubik" w:hAnsi="Rubik" w:cs="Rubik"/>
        </w:rPr>
      </w:pPr>
      <w:r w:rsidRPr="003B12B5">
        <w:rPr>
          <w:rFonts w:ascii="Rubik" w:hAnsi="Rubik" w:cs="Rubik"/>
          <w:b/>
          <w:bCs/>
        </w:rPr>
        <w:t>Un complemento eficaz</w:t>
      </w:r>
      <w:r w:rsidRPr="003B12B5">
        <w:rPr>
          <w:rFonts w:ascii="Rubik" w:hAnsi="Rubik" w:cs="Rubik"/>
        </w:rPr>
        <w:t>, que no sustituye otras medidas como la actividad física, la exposición solar adecuada o la atención médica especializada, pero sí las refuerza.</w:t>
      </w:r>
    </w:p>
    <w:p w14:paraId="157A7503" w14:textId="77777777" w:rsidR="003B12B5" w:rsidRPr="003B12B5" w:rsidRDefault="003B12B5" w:rsidP="003B12B5">
      <w:pPr>
        <w:numPr>
          <w:ilvl w:val="0"/>
          <w:numId w:val="7"/>
        </w:numPr>
        <w:jc w:val="both"/>
        <w:rPr>
          <w:rFonts w:ascii="Rubik" w:hAnsi="Rubik" w:cs="Rubik"/>
        </w:rPr>
      </w:pPr>
      <w:r w:rsidRPr="003B12B5">
        <w:rPr>
          <w:rFonts w:ascii="Rubik" w:hAnsi="Rubik" w:cs="Rubik"/>
        </w:rPr>
        <w:t xml:space="preserve">Una herramienta con potencial para </w:t>
      </w:r>
      <w:r w:rsidRPr="003B12B5">
        <w:rPr>
          <w:rFonts w:ascii="Rubik" w:hAnsi="Rubik" w:cs="Rubik"/>
          <w:b/>
          <w:bCs/>
        </w:rPr>
        <w:t>reducir el riesgo de fracturas</w:t>
      </w:r>
      <w:r w:rsidRPr="003B12B5">
        <w:rPr>
          <w:rFonts w:ascii="Rubik" w:hAnsi="Rubik" w:cs="Rubik"/>
        </w:rPr>
        <w:t xml:space="preserve"> a largo plazo y mejorar la calidad de vida en mujeres posmenopáusicas, especialmente durante los primeros años tras la menopausia.</w:t>
      </w:r>
    </w:p>
    <w:p w14:paraId="15E7A266" w14:textId="419D43FD" w:rsidR="003B12B5" w:rsidRPr="003B12B5" w:rsidRDefault="003B12B5" w:rsidP="003B12B5">
      <w:pPr>
        <w:jc w:val="both"/>
        <w:rPr>
          <w:rFonts w:ascii="Rubik" w:hAnsi="Rubik" w:cs="Rubik"/>
        </w:rPr>
      </w:pPr>
    </w:p>
    <w:p w14:paraId="724DE045" w14:textId="77777777" w:rsidR="003B12B5" w:rsidRPr="003B12B5" w:rsidRDefault="003B12B5" w:rsidP="003B12B5">
      <w:pPr>
        <w:jc w:val="both"/>
        <w:rPr>
          <w:rFonts w:ascii="Rubik" w:hAnsi="Rubik" w:cs="Rubik"/>
          <w:b/>
          <w:bCs/>
        </w:rPr>
      </w:pPr>
      <w:r w:rsidRPr="003B12B5">
        <w:rPr>
          <w:rFonts w:ascii="Rubik" w:hAnsi="Rubik" w:cs="Rubik"/>
          <w:b/>
          <w:bCs/>
        </w:rPr>
        <w:t>Conclusiones: un enfoque nutricional prometedor para la prevención de la osteoporosis</w:t>
      </w:r>
    </w:p>
    <w:p w14:paraId="30A1A044" w14:textId="77777777" w:rsidR="003B12B5" w:rsidRPr="003B12B5" w:rsidRDefault="003B12B5" w:rsidP="003B12B5">
      <w:pPr>
        <w:jc w:val="both"/>
        <w:rPr>
          <w:rFonts w:ascii="Rubik" w:hAnsi="Rubik" w:cs="Rubik"/>
        </w:rPr>
      </w:pPr>
      <w:r w:rsidRPr="003B12B5">
        <w:rPr>
          <w:rFonts w:ascii="Rubik" w:hAnsi="Rubik" w:cs="Rubik"/>
        </w:rPr>
        <w:t xml:space="preserve">Este estudio clínico demuestra que el consumo diario de </w:t>
      </w:r>
      <w:r w:rsidRPr="003B12B5">
        <w:rPr>
          <w:rFonts w:ascii="Rubik" w:hAnsi="Rubik" w:cs="Rubik"/>
          <w:b/>
          <w:bCs/>
        </w:rPr>
        <w:t xml:space="preserve">400 </w:t>
      </w:r>
      <w:proofErr w:type="spellStart"/>
      <w:r w:rsidRPr="003B12B5">
        <w:rPr>
          <w:rFonts w:ascii="Rubik" w:hAnsi="Rubik" w:cs="Rubik"/>
          <w:b/>
          <w:bCs/>
        </w:rPr>
        <w:t>mL</w:t>
      </w:r>
      <w:proofErr w:type="spellEnd"/>
      <w:r w:rsidRPr="003B12B5">
        <w:rPr>
          <w:rFonts w:ascii="Rubik" w:hAnsi="Rubik" w:cs="Rubik"/>
          <w:b/>
          <w:bCs/>
        </w:rPr>
        <w:t xml:space="preserve"> de leche fresca enriquecida en calcio y vitamina D</w:t>
      </w:r>
      <w:r w:rsidRPr="003B12B5">
        <w:rPr>
          <w:rFonts w:ascii="Rubik" w:hAnsi="Rubik" w:cs="Rubik"/>
        </w:rPr>
        <w:t xml:space="preserve"> puede mejorar la densidad mineral ósea, frenar parcialmente la pérdida ósea e influir positivamente en </w:t>
      </w:r>
      <w:proofErr w:type="gramStart"/>
      <w:r w:rsidRPr="003B12B5">
        <w:rPr>
          <w:rFonts w:ascii="Rubik" w:hAnsi="Rubik" w:cs="Rubik"/>
        </w:rPr>
        <w:t>la microbiota</w:t>
      </w:r>
      <w:proofErr w:type="gramEnd"/>
      <w:r w:rsidRPr="003B12B5">
        <w:rPr>
          <w:rFonts w:ascii="Rubik" w:hAnsi="Rubik" w:cs="Rubik"/>
        </w:rPr>
        <w:t xml:space="preserve"> y el metabolismo hormonal de mujeres posmenopáusicas. Se trata de una estrategia nutricional sencilla, accesible y con un sólido perfil de seguridad.</w:t>
      </w:r>
    </w:p>
    <w:p w14:paraId="438E2B71" w14:textId="77777777" w:rsidR="003B12B5" w:rsidRPr="003B12B5" w:rsidRDefault="003B12B5" w:rsidP="003B12B5">
      <w:pPr>
        <w:jc w:val="both"/>
        <w:rPr>
          <w:rFonts w:ascii="Rubik" w:hAnsi="Rubik" w:cs="Rubik"/>
        </w:rPr>
      </w:pPr>
      <w:r w:rsidRPr="003B12B5">
        <w:rPr>
          <w:rFonts w:ascii="Rubik" w:hAnsi="Rubik" w:cs="Rubik"/>
        </w:rPr>
        <w:t>Los autores recomiendan continuar investigando para definir las cantidades óptimas de fortificación y evaluar su impacto en la prevención de fracturas a largo plazo. No obstante, los resultados actuales aportan una base robusta para integrar la leche enriquecida como herramienta complementaria en la prevención de la osteoporosis y el mantenimiento de la salud ósea en la etapa posmenopáusica.</w:t>
      </w:r>
    </w:p>
    <w:p w14:paraId="00DA68F0" w14:textId="4025669E" w:rsidR="009B73DA" w:rsidRDefault="009B73DA" w:rsidP="003B12B5">
      <w:pPr>
        <w:jc w:val="both"/>
        <w:rPr>
          <w:rFonts w:ascii="Rubik" w:hAnsi="Rubik" w:cs="Rubik"/>
          <w:b/>
          <w:bCs/>
          <w:color w:val="002060"/>
          <w:sz w:val="18"/>
          <w:szCs w:val="18"/>
        </w:rPr>
      </w:pPr>
    </w:p>
    <w:p w14:paraId="22A7FBF9" w14:textId="77777777" w:rsidR="00F4744B" w:rsidRDefault="00F4744B" w:rsidP="0008762E">
      <w:pPr>
        <w:jc w:val="both"/>
        <w:rPr>
          <w:rFonts w:ascii="Rubik" w:hAnsi="Rubik" w:cs="Rubik"/>
          <w:b/>
          <w:bCs/>
          <w:color w:val="002060"/>
          <w:sz w:val="18"/>
          <w:szCs w:val="18"/>
        </w:rPr>
      </w:pPr>
    </w:p>
    <w:p w14:paraId="1EB011D3" w14:textId="4946228B" w:rsidR="0008762E" w:rsidRPr="00604451" w:rsidRDefault="0008762E" w:rsidP="0008762E">
      <w:pPr>
        <w:jc w:val="both"/>
        <w:rPr>
          <w:rFonts w:ascii="Rubik" w:hAnsi="Rubik" w:cs="Rubik"/>
          <w:b/>
          <w:bCs/>
          <w:color w:val="002060"/>
          <w:sz w:val="18"/>
          <w:szCs w:val="18"/>
        </w:rPr>
      </w:pPr>
      <w:r w:rsidRPr="00604451">
        <w:rPr>
          <w:rFonts w:ascii="Rubik" w:hAnsi="Rubik" w:cs="Rubik"/>
          <w:b/>
          <w:bCs/>
          <w:noProof/>
          <w:color w:val="002060"/>
          <w:sz w:val="18"/>
          <w:szCs w:val="18"/>
        </w:rPr>
        <w:drawing>
          <wp:anchor distT="0" distB="0" distL="114300" distR="114300" simplePos="0" relativeHeight="251660288" behindDoc="1" locked="0" layoutInCell="1" allowOverlap="1" wp14:anchorId="248A5A27" wp14:editId="7EB4876E">
            <wp:simplePos x="0" y="0"/>
            <wp:positionH relativeFrom="margin">
              <wp:align>left</wp:align>
            </wp:positionH>
            <wp:positionV relativeFrom="paragraph">
              <wp:posOffset>168275</wp:posOffset>
            </wp:positionV>
            <wp:extent cx="2514600" cy="125730"/>
            <wp:effectExtent l="0" t="0" r="0" b="7620"/>
            <wp:wrapTight wrapText="bothSides">
              <wp:wrapPolygon edited="0">
                <wp:start x="0" y="0"/>
                <wp:lineTo x="0" y="19636"/>
                <wp:lineTo x="21273" y="19636"/>
                <wp:lineTo x="21273" y="0"/>
                <wp:lineTo x="0" y="0"/>
              </wp:wrapPolygon>
            </wp:wrapTight>
            <wp:docPr id="1432009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2599320" cy="130467"/>
                    </a:xfrm>
                    <a:prstGeom prst="rect">
                      <a:avLst/>
                    </a:prstGeom>
                  </pic:spPr>
                </pic:pic>
              </a:graphicData>
            </a:graphic>
            <wp14:sizeRelH relativeFrom="page">
              <wp14:pctWidth>0</wp14:pctWidth>
            </wp14:sizeRelH>
            <wp14:sizeRelV relativeFrom="page">
              <wp14:pctHeight>0</wp14:pctHeight>
            </wp14:sizeRelV>
          </wp:anchor>
        </w:drawing>
      </w:r>
      <w:r w:rsidRPr="00604451">
        <w:rPr>
          <w:rFonts w:ascii="Rubik" w:hAnsi="Rubik" w:cs="Rubik"/>
          <w:b/>
          <w:bCs/>
          <w:color w:val="002060"/>
          <w:sz w:val="18"/>
          <w:szCs w:val="18"/>
        </w:rPr>
        <w:t xml:space="preserve">Sobre </w:t>
      </w:r>
      <w:r>
        <w:rPr>
          <w:rFonts w:ascii="Rubik" w:hAnsi="Rubik" w:cs="Rubik"/>
          <w:b/>
          <w:bCs/>
          <w:color w:val="002060"/>
          <w:sz w:val="18"/>
          <w:szCs w:val="18"/>
        </w:rPr>
        <w:t>INSTITUTO PULEVA DE NUTRICIÓN</w:t>
      </w:r>
    </w:p>
    <w:p w14:paraId="63A88EA3" w14:textId="77777777" w:rsidR="0008762E" w:rsidRDefault="0008762E" w:rsidP="0008762E">
      <w:pPr>
        <w:spacing w:after="0" w:line="240" w:lineRule="auto"/>
        <w:jc w:val="both"/>
        <w:rPr>
          <w:rFonts w:ascii="Rubik" w:hAnsi="Rubik" w:cs="Rubik"/>
          <w:bCs/>
          <w:sz w:val="18"/>
          <w:szCs w:val="18"/>
        </w:rPr>
      </w:pPr>
    </w:p>
    <w:p w14:paraId="5B263C3E" w14:textId="19A19494" w:rsidR="00EF3082" w:rsidRPr="00EF3082" w:rsidRDefault="00EF3082" w:rsidP="00EF3082">
      <w:pPr>
        <w:jc w:val="both"/>
        <w:rPr>
          <w:rFonts w:ascii="Rubik" w:eastAsia="Rubik" w:hAnsi="Rubik" w:cs="Rubik"/>
          <w:color w:val="002060"/>
          <w:sz w:val="18"/>
          <w:szCs w:val="18"/>
        </w:rPr>
      </w:pPr>
      <w:r w:rsidRPr="00EF3082">
        <w:rPr>
          <w:rFonts w:ascii="Rubik" w:eastAsia="Rubik" w:hAnsi="Rubik" w:cs="Rubik"/>
          <w:color w:val="002060"/>
          <w:sz w:val="18"/>
          <w:szCs w:val="18"/>
        </w:rPr>
        <w:t xml:space="preserve">Desde su creación en 2014, el Instituto Puleva de Nutrición (IPN) se ha convertido en un referente científico y divulgativo en España, promoviendo hábitos de vida saludables a través de la investigación, formación y comunicación rigurosa. Más de una década de trabajo avala su contribución con iniciativas pioneras como el Estudio </w:t>
      </w:r>
      <w:proofErr w:type="spellStart"/>
      <w:r w:rsidRPr="00EF3082">
        <w:rPr>
          <w:rFonts w:ascii="Rubik" w:eastAsia="Rubik" w:hAnsi="Rubik" w:cs="Rubik"/>
          <w:color w:val="002060"/>
          <w:sz w:val="18"/>
          <w:szCs w:val="18"/>
        </w:rPr>
        <w:t>EsNuPI</w:t>
      </w:r>
      <w:proofErr w:type="spellEnd"/>
      <w:r w:rsidRPr="00EF3082">
        <w:rPr>
          <w:rFonts w:ascii="Rubik" w:eastAsia="Rubik" w:hAnsi="Rubik" w:cs="Rubik"/>
          <w:color w:val="002060"/>
          <w:sz w:val="18"/>
          <w:szCs w:val="18"/>
        </w:rPr>
        <w:t xml:space="preserve"> sobre alimentación infantil, herramientas de autoevaluación como el </w:t>
      </w:r>
      <w:proofErr w:type="spellStart"/>
      <w:r w:rsidRPr="00EF3082">
        <w:rPr>
          <w:rFonts w:ascii="Rubik" w:eastAsia="Rubik" w:hAnsi="Rubik" w:cs="Rubik"/>
          <w:color w:val="002060"/>
          <w:sz w:val="18"/>
          <w:szCs w:val="18"/>
        </w:rPr>
        <w:t>Calciómetro</w:t>
      </w:r>
      <w:proofErr w:type="spellEnd"/>
      <w:r w:rsidRPr="00EF3082">
        <w:rPr>
          <w:rFonts w:ascii="Rubik" w:eastAsia="Rubik" w:hAnsi="Rubik" w:cs="Rubik"/>
          <w:color w:val="002060"/>
          <w:sz w:val="18"/>
          <w:szCs w:val="18"/>
        </w:rPr>
        <w:t xml:space="preserve"> Plus, campañas de sensibilización como el “Movimiento Corazones Contentos” o “Decisiones con Datos”, o espacios de divulgación como el blog "Un vaso de ciencia", que acerca el conocimiento científico a miles de profesionales y familias.</w:t>
      </w:r>
      <w:r>
        <w:rPr>
          <w:rFonts w:ascii="Rubik" w:eastAsia="Rubik" w:hAnsi="Rubik" w:cs="Rubik"/>
          <w:color w:val="002060"/>
          <w:sz w:val="18"/>
          <w:szCs w:val="18"/>
        </w:rPr>
        <w:t xml:space="preserve"> </w:t>
      </w:r>
      <w:r w:rsidRPr="00EF3082">
        <w:rPr>
          <w:rFonts w:ascii="Rubik" w:eastAsia="Rubik" w:hAnsi="Rubik" w:cs="Rubik"/>
          <w:color w:val="002060"/>
          <w:sz w:val="18"/>
          <w:szCs w:val="18"/>
        </w:rPr>
        <w:t>El compromiso del IPN con el avance de la nutrición ha sido reconocido en 2024 con el Premio Estrategia NAOS, modalidad de Iniciativa Empresarial, y un Primer Accésit, por su papel destacado durante más de 10 años en el impulso de la investigación, la promoción de hábitos de vida saludables y la divulgación científica accesible para toda la sociedad.</w:t>
      </w:r>
    </w:p>
    <w:p w14:paraId="720703CD" w14:textId="40FF066D" w:rsidR="00EF3082" w:rsidRPr="00EF3082" w:rsidRDefault="00EF3082" w:rsidP="00EF3082">
      <w:pPr>
        <w:jc w:val="both"/>
        <w:rPr>
          <w:rFonts w:ascii="Rubik" w:eastAsia="Rubik" w:hAnsi="Rubik" w:cs="Rubik"/>
          <w:color w:val="002060"/>
          <w:sz w:val="18"/>
          <w:szCs w:val="18"/>
        </w:rPr>
      </w:pPr>
      <w:r w:rsidRPr="00EF3082">
        <w:rPr>
          <w:rFonts w:ascii="Rubik" w:eastAsia="Rubik" w:hAnsi="Rubik" w:cs="Rubik"/>
          <w:color w:val="002060"/>
          <w:sz w:val="18"/>
          <w:szCs w:val="18"/>
        </w:rPr>
        <w:t>A través de su enfoque multisectorial, su apuesta por la sostenibilidad y su colaboración continua con más de 35 entidades de investigación, universidades, sociedades científicas e instituciones públicas, el Instituto Puleva de Nutrición fortalece la conexión entre ciencia, industria alimentaria y ciudadanía, contribuyendo activamente al desarrollo de productos lácteos adaptados a las necesidades reales de la población.</w:t>
      </w:r>
      <w:r>
        <w:rPr>
          <w:rFonts w:ascii="Rubik" w:eastAsia="Rubik" w:hAnsi="Rubik" w:cs="Rubik"/>
          <w:color w:val="002060"/>
          <w:sz w:val="18"/>
          <w:szCs w:val="18"/>
        </w:rPr>
        <w:t xml:space="preserve"> </w:t>
      </w:r>
      <w:r w:rsidRPr="00EF3082">
        <w:rPr>
          <w:rFonts w:ascii="Rubik" w:eastAsia="Rubik" w:hAnsi="Rubik" w:cs="Rubik"/>
          <w:color w:val="002060"/>
          <w:sz w:val="18"/>
          <w:szCs w:val="18"/>
        </w:rPr>
        <w:t xml:space="preserve">El Instituto cuenta con la asesoría permanente de un comité científico, </w:t>
      </w:r>
      <w:r w:rsidRPr="00EF3082">
        <w:rPr>
          <w:rFonts w:ascii="Rubik" w:eastAsia="Rubik" w:hAnsi="Rubik" w:cs="Rubik"/>
          <w:color w:val="002060"/>
          <w:sz w:val="18"/>
          <w:szCs w:val="18"/>
        </w:rPr>
        <w:lastRenderedPageBreak/>
        <w:t>integrado por algunos de los expertos más prestigiosos a nivel nacional e internacional. Este comité garantiza el rigor científico de todas sus acciones, que se complementan con una apuesta constante por la innovación en la producción de materiales científicos y una firme voluntad de generar diálogo social en torno a la nutrición y la salud.</w:t>
      </w:r>
    </w:p>
    <w:p w14:paraId="081C462F" w14:textId="77777777" w:rsidR="0008762E" w:rsidRDefault="0008762E" w:rsidP="0008762E">
      <w:pPr>
        <w:jc w:val="both"/>
        <w:rPr>
          <w:rFonts w:ascii="Rubik" w:hAnsi="Rubik" w:cs="Rubik"/>
          <w:b/>
          <w:bCs/>
          <w:color w:val="002060"/>
          <w:sz w:val="18"/>
          <w:szCs w:val="18"/>
        </w:rPr>
      </w:pPr>
    </w:p>
    <w:p w14:paraId="3870D70F" w14:textId="31C24379" w:rsidR="00F90B05" w:rsidRPr="00604451" w:rsidRDefault="0008762E" w:rsidP="0008762E">
      <w:pPr>
        <w:jc w:val="both"/>
        <w:rPr>
          <w:rFonts w:ascii="Rubik" w:hAnsi="Rubik" w:cs="Rubik"/>
          <w:b/>
          <w:bCs/>
          <w:color w:val="002060"/>
          <w:sz w:val="18"/>
          <w:szCs w:val="18"/>
        </w:rPr>
      </w:pPr>
      <w:r w:rsidRPr="00604451">
        <w:rPr>
          <w:rFonts w:ascii="Rubik" w:hAnsi="Rubik" w:cs="Rubik"/>
          <w:b/>
          <w:bCs/>
          <w:noProof/>
          <w:color w:val="002060"/>
          <w:sz w:val="18"/>
          <w:szCs w:val="18"/>
        </w:rPr>
        <w:drawing>
          <wp:anchor distT="0" distB="0" distL="114300" distR="114300" simplePos="0" relativeHeight="251658240" behindDoc="1" locked="0" layoutInCell="1" allowOverlap="1" wp14:anchorId="5BF71A96" wp14:editId="04A34889">
            <wp:simplePos x="0" y="0"/>
            <wp:positionH relativeFrom="margin">
              <wp:align>left</wp:align>
            </wp:positionH>
            <wp:positionV relativeFrom="paragraph">
              <wp:posOffset>213995</wp:posOffset>
            </wp:positionV>
            <wp:extent cx="1973580" cy="99060"/>
            <wp:effectExtent l="0" t="0" r="7620" b="0"/>
            <wp:wrapTight wrapText="bothSides">
              <wp:wrapPolygon edited="0">
                <wp:start x="0" y="0"/>
                <wp:lineTo x="0" y="16615"/>
                <wp:lineTo x="21475" y="16615"/>
                <wp:lineTo x="21475" y="0"/>
                <wp:lineTo x="0" y="0"/>
              </wp:wrapPolygon>
            </wp:wrapTight>
            <wp:docPr id="250986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1973580" cy="99060"/>
                    </a:xfrm>
                    <a:prstGeom prst="rect">
                      <a:avLst/>
                    </a:prstGeom>
                  </pic:spPr>
                </pic:pic>
              </a:graphicData>
            </a:graphic>
            <wp14:sizeRelH relativeFrom="page">
              <wp14:pctWidth>0</wp14:pctWidth>
            </wp14:sizeRelH>
            <wp14:sizeRelV relativeFrom="page">
              <wp14:pctHeight>0</wp14:pctHeight>
            </wp14:sizeRelV>
          </wp:anchor>
        </w:drawing>
      </w:r>
      <w:r w:rsidR="00F90B05" w:rsidRPr="00604451">
        <w:rPr>
          <w:rFonts w:ascii="Rubik" w:hAnsi="Rubik" w:cs="Rubik"/>
          <w:b/>
          <w:bCs/>
          <w:color w:val="002060"/>
          <w:sz w:val="18"/>
          <w:szCs w:val="18"/>
        </w:rPr>
        <w:t>Sobre LACTALIS ESPAÑA</w:t>
      </w:r>
    </w:p>
    <w:p w14:paraId="68999B7F" w14:textId="5C9A97E6" w:rsidR="00F90B05" w:rsidRDefault="00F90B05" w:rsidP="00AD0466">
      <w:pPr>
        <w:spacing w:after="0" w:line="240" w:lineRule="auto"/>
        <w:jc w:val="both"/>
        <w:rPr>
          <w:rFonts w:ascii="Rubik" w:hAnsi="Rubik" w:cs="Rubik"/>
          <w:bCs/>
          <w:sz w:val="18"/>
          <w:szCs w:val="18"/>
        </w:rPr>
      </w:pPr>
    </w:p>
    <w:p w14:paraId="4FC99EB8" w14:textId="6EC54E51" w:rsidR="00B13A9B" w:rsidRPr="00CB5D57" w:rsidRDefault="008D46CC" w:rsidP="008D46CC">
      <w:pPr>
        <w:jc w:val="both"/>
        <w:rPr>
          <w:rFonts w:ascii="Rubik" w:eastAsia="Rubik" w:hAnsi="Rubik" w:cs="Rubik"/>
          <w:sz w:val="18"/>
          <w:szCs w:val="18"/>
        </w:rPr>
      </w:pPr>
      <w:proofErr w:type="spellStart"/>
      <w:r w:rsidRPr="008D46CC">
        <w:rPr>
          <w:rFonts w:ascii="Rubik" w:eastAsia="Rubik" w:hAnsi="Rubik" w:cs="Rubik"/>
          <w:color w:val="002060"/>
          <w:sz w:val="18"/>
          <w:szCs w:val="18"/>
        </w:rPr>
        <w:t>Lactalis</w:t>
      </w:r>
      <w:proofErr w:type="spellEnd"/>
      <w:r w:rsidRPr="008D46CC">
        <w:rPr>
          <w:rFonts w:ascii="Rubik" w:eastAsia="Rubik" w:hAnsi="Rubik" w:cs="Rubik"/>
          <w:color w:val="002060"/>
          <w:sz w:val="18"/>
          <w:szCs w:val="18"/>
        </w:rPr>
        <w:t xml:space="preserve"> España es líder del sector lácteo y uno de los principales motores del tejido </w:t>
      </w:r>
      <w:r>
        <w:rPr>
          <w:rFonts w:ascii="Rubik" w:eastAsia="Rubik" w:hAnsi="Rubik" w:cs="Rubik"/>
          <w:color w:val="002060"/>
          <w:sz w:val="18"/>
          <w:szCs w:val="18"/>
        </w:rPr>
        <w:t>socioeconómico español</w:t>
      </w:r>
      <w:r w:rsidRPr="008D46CC">
        <w:rPr>
          <w:rFonts w:ascii="Rubik" w:eastAsia="Rubik" w:hAnsi="Rubik" w:cs="Rubik"/>
          <w:color w:val="002060"/>
          <w:sz w:val="18"/>
          <w:szCs w:val="18"/>
        </w:rPr>
        <w:t xml:space="preserve">, con una contribución directa </w:t>
      </w:r>
      <w:r>
        <w:rPr>
          <w:rFonts w:ascii="Rubik" w:eastAsia="Rubik" w:hAnsi="Rubik" w:cs="Rubik"/>
          <w:color w:val="002060"/>
          <w:sz w:val="18"/>
          <w:szCs w:val="18"/>
        </w:rPr>
        <w:t>superior a</w:t>
      </w:r>
      <w:r w:rsidRPr="008D46CC">
        <w:rPr>
          <w:rFonts w:ascii="Rubik" w:eastAsia="Rubik" w:hAnsi="Rubik" w:cs="Rubik"/>
          <w:color w:val="002060"/>
          <w:sz w:val="18"/>
          <w:szCs w:val="18"/>
        </w:rPr>
        <w:t xml:space="preserve"> 1</w:t>
      </w:r>
      <w:r>
        <w:rPr>
          <w:rFonts w:ascii="Rubik" w:eastAsia="Rubik" w:hAnsi="Rubik" w:cs="Rubik"/>
          <w:color w:val="002060"/>
          <w:sz w:val="18"/>
          <w:szCs w:val="18"/>
        </w:rPr>
        <w:t xml:space="preserve"> </w:t>
      </w:r>
      <w:r w:rsidRPr="008D46CC">
        <w:rPr>
          <w:rFonts w:ascii="Rubik" w:eastAsia="Rubik" w:hAnsi="Rubik" w:cs="Rubik"/>
          <w:color w:val="002060"/>
          <w:sz w:val="18"/>
          <w:szCs w:val="18"/>
        </w:rPr>
        <w:t>000 millones de euros en 2024. Cuenta con 8 plantas</w:t>
      </w:r>
      <w:r>
        <w:rPr>
          <w:rFonts w:ascii="Rubik" w:eastAsia="Rubik" w:hAnsi="Rubik" w:cs="Rubik"/>
          <w:color w:val="002060"/>
          <w:sz w:val="18"/>
          <w:szCs w:val="18"/>
        </w:rPr>
        <w:t xml:space="preserve"> </w:t>
      </w:r>
      <w:r w:rsidRPr="008D46CC">
        <w:rPr>
          <w:rFonts w:ascii="Rubik" w:eastAsia="Rubik" w:hAnsi="Rubik" w:cs="Rubik"/>
          <w:color w:val="002060"/>
          <w:sz w:val="18"/>
          <w:szCs w:val="18"/>
        </w:rPr>
        <w:t xml:space="preserve">—6 en municipios de menos de 25.000 habitantes— y 2.617 profesionales, el 93,8 % con contrato indefinido. Colabora con 1.458 ganaderías en 13 comunidades autónomas, </w:t>
      </w:r>
      <w:r>
        <w:rPr>
          <w:rFonts w:ascii="Rubik" w:eastAsia="Rubik" w:hAnsi="Rubik" w:cs="Rubik"/>
          <w:color w:val="002060"/>
          <w:sz w:val="18"/>
          <w:szCs w:val="18"/>
        </w:rPr>
        <w:t>a</w:t>
      </w:r>
      <w:r w:rsidRPr="008D46CC">
        <w:rPr>
          <w:rFonts w:ascii="Rubik" w:eastAsia="Rubik" w:hAnsi="Rubik" w:cs="Rubik"/>
          <w:color w:val="002060"/>
          <w:sz w:val="18"/>
          <w:szCs w:val="18"/>
        </w:rPr>
        <w:t xml:space="preserve"> las que recogió 993 millones de litros de leche, el 97,7 % con certificación en Bienestar Animal.</w:t>
      </w:r>
      <w:r>
        <w:rPr>
          <w:rFonts w:ascii="Rubik" w:eastAsia="Rubik" w:hAnsi="Rubik" w:cs="Rubik"/>
          <w:color w:val="002060"/>
          <w:sz w:val="18"/>
          <w:szCs w:val="18"/>
        </w:rPr>
        <w:t xml:space="preserve"> </w:t>
      </w:r>
      <w:r w:rsidRPr="008D46CC">
        <w:rPr>
          <w:rFonts w:ascii="Rubik" w:eastAsia="Rubik" w:hAnsi="Rubik" w:cs="Rubik"/>
          <w:color w:val="002060"/>
          <w:sz w:val="18"/>
          <w:szCs w:val="18"/>
        </w:rPr>
        <w:t xml:space="preserve">Sus marcas —Puleva, </w:t>
      </w:r>
      <w:proofErr w:type="spellStart"/>
      <w:r w:rsidRPr="008D46CC">
        <w:rPr>
          <w:rFonts w:ascii="Rubik" w:eastAsia="Rubik" w:hAnsi="Rubik" w:cs="Rubik"/>
          <w:color w:val="002060"/>
          <w:sz w:val="18"/>
          <w:szCs w:val="18"/>
        </w:rPr>
        <w:t>Président</w:t>
      </w:r>
      <w:proofErr w:type="spellEnd"/>
      <w:r w:rsidRPr="008D46CC">
        <w:rPr>
          <w:rFonts w:ascii="Rubik" w:eastAsia="Rubik" w:hAnsi="Rubik" w:cs="Rubik"/>
          <w:color w:val="002060"/>
          <w:sz w:val="18"/>
          <w:szCs w:val="18"/>
        </w:rPr>
        <w:t xml:space="preserve">, </w:t>
      </w:r>
      <w:proofErr w:type="spellStart"/>
      <w:r w:rsidRPr="008D46CC">
        <w:rPr>
          <w:rFonts w:ascii="Rubik" w:eastAsia="Rubik" w:hAnsi="Rubik" w:cs="Rubik"/>
          <w:color w:val="002060"/>
          <w:sz w:val="18"/>
          <w:szCs w:val="18"/>
        </w:rPr>
        <w:t>Galbani</w:t>
      </w:r>
      <w:proofErr w:type="spellEnd"/>
      <w:r w:rsidRPr="008D46CC">
        <w:rPr>
          <w:rFonts w:ascii="Rubik" w:eastAsia="Rubik" w:hAnsi="Rubik" w:cs="Rubik"/>
          <w:color w:val="002060"/>
          <w:sz w:val="18"/>
          <w:szCs w:val="18"/>
        </w:rPr>
        <w:t xml:space="preserve">, Flor de Esgueva, El Ventero o </w:t>
      </w:r>
      <w:proofErr w:type="spellStart"/>
      <w:r w:rsidRPr="008D46CC">
        <w:rPr>
          <w:rFonts w:ascii="Rubik" w:eastAsia="Rubik" w:hAnsi="Rubik" w:cs="Rubik"/>
          <w:color w:val="002060"/>
          <w:sz w:val="18"/>
          <w:szCs w:val="18"/>
        </w:rPr>
        <w:t>Chufi</w:t>
      </w:r>
      <w:proofErr w:type="spellEnd"/>
      <w:r w:rsidRPr="008D46CC">
        <w:rPr>
          <w:rFonts w:ascii="Rubik" w:eastAsia="Rubik" w:hAnsi="Rubik" w:cs="Rubik"/>
          <w:color w:val="002060"/>
          <w:sz w:val="18"/>
          <w:szCs w:val="18"/>
        </w:rPr>
        <w:t xml:space="preserve">—, junto con las gestionadas por la </w:t>
      </w:r>
      <w:proofErr w:type="spellStart"/>
      <w:proofErr w:type="gramStart"/>
      <w:r w:rsidRPr="008D46CC">
        <w:rPr>
          <w:rFonts w:ascii="Rubik" w:eastAsia="Rubik" w:hAnsi="Rubik" w:cs="Rubik"/>
          <w:color w:val="002060"/>
          <w:sz w:val="18"/>
          <w:szCs w:val="18"/>
        </w:rPr>
        <w:t>joint</w:t>
      </w:r>
      <w:proofErr w:type="spellEnd"/>
      <w:r w:rsidRPr="008D46CC">
        <w:rPr>
          <w:rFonts w:ascii="Rubik" w:eastAsia="Rubik" w:hAnsi="Rubik" w:cs="Rubik"/>
          <w:color w:val="002060"/>
          <w:sz w:val="18"/>
          <w:szCs w:val="18"/>
        </w:rPr>
        <w:t>-venture</w:t>
      </w:r>
      <w:proofErr w:type="gramEnd"/>
      <w:r w:rsidRPr="008D46CC">
        <w:rPr>
          <w:rFonts w:ascii="Rubik" w:eastAsia="Rubik" w:hAnsi="Rubik" w:cs="Rubik"/>
          <w:color w:val="002060"/>
          <w:sz w:val="18"/>
          <w:szCs w:val="18"/>
        </w:rPr>
        <w:t xml:space="preserve"> </w:t>
      </w:r>
      <w:proofErr w:type="spellStart"/>
      <w:r w:rsidRPr="008D46CC">
        <w:rPr>
          <w:rFonts w:ascii="Rubik" w:eastAsia="Rubik" w:hAnsi="Rubik" w:cs="Rubik"/>
          <w:color w:val="002060"/>
          <w:sz w:val="18"/>
          <w:szCs w:val="18"/>
        </w:rPr>
        <w:t>Lactalis</w:t>
      </w:r>
      <w:proofErr w:type="spellEnd"/>
      <w:r w:rsidRPr="008D46CC">
        <w:rPr>
          <w:rFonts w:ascii="Rubik" w:eastAsia="Rubik" w:hAnsi="Rubik" w:cs="Rubik"/>
          <w:color w:val="002060"/>
          <w:sz w:val="18"/>
          <w:szCs w:val="18"/>
        </w:rPr>
        <w:t xml:space="preserve"> Nestlé —Yogures Nestlé, La Lechera, </w:t>
      </w:r>
      <w:proofErr w:type="spellStart"/>
      <w:r w:rsidRPr="008D46CC">
        <w:rPr>
          <w:rFonts w:ascii="Rubik" w:eastAsia="Rubik" w:hAnsi="Rubik" w:cs="Rubik"/>
          <w:color w:val="002060"/>
          <w:sz w:val="18"/>
          <w:szCs w:val="18"/>
        </w:rPr>
        <w:t>Nescafé</w:t>
      </w:r>
      <w:proofErr w:type="spellEnd"/>
      <w:r w:rsidRPr="008D46CC">
        <w:rPr>
          <w:rFonts w:ascii="Rubik" w:eastAsia="Rubik" w:hAnsi="Rubik" w:cs="Rubik"/>
          <w:color w:val="002060"/>
          <w:sz w:val="18"/>
          <w:szCs w:val="18"/>
        </w:rPr>
        <w:t xml:space="preserve"> Latte o YAOS—, están presentes en más de 12 millones de hogares. </w:t>
      </w:r>
      <w:r w:rsidR="006D199A" w:rsidRPr="006D199A">
        <w:rPr>
          <w:rFonts w:ascii="Rubik" w:eastAsia="Rubik" w:hAnsi="Rubik" w:cs="Rubik"/>
          <w:color w:val="002060"/>
          <w:sz w:val="18"/>
          <w:szCs w:val="18"/>
        </w:rPr>
        <w:t xml:space="preserve">Su actividad se estructura en unidades de negocio especializadas: </w:t>
      </w:r>
      <w:proofErr w:type="spellStart"/>
      <w:r w:rsidR="006D199A" w:rsidRPr="006D199A">
        <w:rPr>
          <w:rFonts w:ascii="Rubik" w:eastAsia="Rubik" w:hAnsi="Rubik" w:cs="Rubik"/>
          <w:color w:val="002060"/>
          <w:sz w:val="18"/>
          <w:szCs w:val="18"/>
        </w:rPr>
        <w:t>Lactalis</w:t>
      </w:r>
      <w:proofErr w:type="spellEnd"/>
      <w:r w:rsidR="006D199A" w:rsidRPr="006D199A">
        <w:rPr>
          <w:rFonts w:ascii="Rubik" w:eastAsia="Rubik" w:hAnsi="Rubik" w:cs="Rubik"/>
          <w:color w:val="002060"/>
          <w:sz w:val="18"/>
          <w:szCs w:val="18"/>
        </w:rPr>
        <w:t xml:space="preserve"> Puleva (leche y </w:t>
      </w:r>
      <w:r w:rsidR="006D199A">
        <w:rPr>
          <w:rFonts w:ascii="Rubik" w:eastAsia="Rubik" w:hAnsi="Rubik" w:cs="Rubik"/>
          <w:color w:val="002060"/>
          <w:sz w:val="18"/>
          <w:szCs w:val="18"/>
        </w:rPr>
        <w:t>bebidas lácteas</w:t>
      </w:r>
      <w:r w:rsidR="006D199A" w:rsidRPr="006D199A">
        <w:rPr>
          <w:rFonts w:ascii="Rubik" w:eastAsia="Rubik" w:hAnsi="Rubik" w:cs="Rubik"/>
          <w:color w:val="002060"/>
          <w:sz w:val="18"/>
          <w:szCs w:val="18"/>
        </w:rPr>
        <w:t xml:space="preserve">), </w:t>
      </w:r>
      <w:proofErr w:type="spellStart"/>
      <w:r w:rsidR="006D199A" w:rsidRPr="006D199A">
        <w:rPr>
          <w:rFonts w:ascii="Rubik" w:eastAsia="Rubik" w:hAnsi="Rubik" w:cs="Rubik"/>
          <w:color w:val="002060"/>
          <w:sz w:val="18"/>
          <w:szCs w:val="18"/>
        </w:rPr>
        <w:t>Lactalis</w:t>
      </w:r>
      <w:proofErr w:type="spellEnd"/>
      <w:r w:rsidR="006D199A" w:rsidRPr="006D199A">
        <w:rPr>
          <w:rFonts w:ascii="Rubik" w:eastAsia="Rubik" w:hAnsi="Rubik" w:cs="Rubik"/>
          <w:color w:val="002060"/>
          <w:sz w:val="18"/>
          <w:szCs w:val="18"/>
        </w:rPr>
        <w:t xml:space="preserve"> </w:t>
      </w:r>
      <w:proofErr w:type="spellStart"/>
      <w:r w:rsidR="006D199A" w:rsidRPr="006D199A">
        <w:rPr>
          <w:rFonts w:ascii="Rubik" w:eastAsia="Rubik" w:hAnsi="Rubik" w:cs="Rubik"/>
          <w:color w:val="002060"/>
          <w:sz w:val="18"/>
          <w:szCs w:val="18"/>
        </w:rPr>
        <w:t>Forlasa</w:t>
      </w:r>
      <w:proofErr w:type="spellEnd"/>
      <w:r w:rsidR="006D199A" w:rsidRPr="006D199A">
        <w:rPr>
          <w:rFonts w:ascii="Rubik" w:eastAsia="Rubik" w:hAnsi="Rubik" w:cs="Rubik"/>
          <w:color w:val="002060"/>
          <w:sz w:val="18"/>
          <w:szCs w:val="18"/>
        </w:rPr>
        <w:t xml:space="preserve"> (quesos), </w:t>
      </w:r>
      <w:proofErr w:type="spellStart"/>
      <w:r w:rsidR="006D199A" w:rsidRPr="006D199A">
        <w:rPr>
          <w:rFonts w:ascii="Rubik" w:eastAsia="Rubik" w:hAnsi="Rubik" w:cs="Rubik"/>
          <w:color w:val="002060"/>
          <w:sz w:val="18"/>
          <w:szCs w:val="18"/>
        </w:rPr>
        <w:t>Lactalis</w:t>
      </w:r>
      <w:proofErr w:type="spellEnd"/>
      <w:r w:rsidR="006D199A" w:rsidRPr="006D199A">
        <w:rPr>
          <w:rFonts w:ascii="Rubik" w:eastAsia="Rubik" w:hAnsi="Rubik" w:cs="Rubik"/>
          <w:color w:val="002060"/>
          <w:sz w:val="18"/>
          <w:szCs w:val="18"/>
        </w:rPr>
        <w:t xml:space="preserve"> </w:t>
      </w:r>
      <w:proofErr w:type="spellStart"/>
      <w:r w:rsidR="006D199A" w:rsidRPr="006D199A">
        <w:rPr>
          <w:rFonts w:ascii="Rubik" w:eastAsia="Rubik" w:hAnsi="Rubik" w:cs="Rubik"/>
          <w:color w:val="002060"/>
          <w:sz w:val="18"/>
          <w:szCs w:val="18"/>
        </w:rPr>
        <w:t>Foodservice</w:t>
      </w:r>
      <w:proofErr w:type="spellEnd"/>
      <w:r w:rsidR="006D199A" w:rsidRPr="006D199A">
        <w:rPr>
          <w:rFonts w:ascii="Rubik" w:eastAsia="Rubik" w:hAnsi="Rubik" w:cs="Rubik"/>
          <w:color w:val="002060"/>
          <w:sz w:val="18"/>
          <w:szCs w:val="18"/>
        </w:rPr>
        <w:t xml:space="preserve"> (canal profesional), </w:t>
      </w:r>
      <w:proofErr w:type="spellStart"/>
      <w:r w:rsidR="006D199A" w:rsidRPr="006D199A">
        <w:rPr>
          <w:rFonts w:ascii="Rubik" w:eastAsia="Rubik" w:hAnsi="Rubik" w:cs="Rubik"/>
          <w:color w:val="002060"/>
          <w:sz w:val="18"/>
          <w:szCs w:val="18"/>
        </w:rPr>
        <w:t>Lactalis</w:t>
      </w:r>
      <w:proofErr w:type="spellEnd"/>
      <w:r w:rsidR="006D199A" w:rsidRPr="006D199A">
        <w:rPr>
          <w:rFonts w:ascii="Rubik" w:eastAsia="Rubik" w:hAnsi="Rubik" w:cs="Rubik"/>
          <w:color w:val="002060"/>
          <w:sz w:val="18"/>
          <w:szCs w:val="18"/>
        </w:rPr>
        <w:t xml:space="preserve"> Nutrición (</w:t>
      </w:r>
      <w:r w:rsidR="006D199A">
        <w:rPr>
          <w:rFonts w:ascii="Rubik" w:eastAsia="Rubik" w:hAnsi="Rubik" w:cs="Rubik"/>
          <w:color w:val="002060"/>
          <w:sz w:val="18"/>
          <w:szCs w:val="18"/>
        </w:rPr>
        <w:t>nutrición</w:t>
      </w:r>
      <w:r w:rsidR="006D199A" w:rsidRPr="006D199A">
        <w:rPr>
          <w:rFonts w:ascii="Rubik" w:eastAsia="Rubik" w:hAnsi="Rubik" w:cs="Rubik"/>
          <w:color w:val="002060"/>
          <w:sz w:val="18"/>
          <w:szCs w:val="18"/>
        </w:rPr>
        <w:t xml:space="preserve"> </w:t>
      </w:r>
      <w:r w:rsidR="006D199A">
        <w:rPr>
          <w:rFonts w:ascii="Rubik" w:eastAsia="Rubik" w:hAnsi="Rubik" w:cs="Rubik"/>
          <w:color w:val="002060"/>
          <w:sz w:val="18"/>
          <w:szCs w:val="18"/>
        </w:rPr>
        <w:t>infantil</w:t>
      </w:r>
      <w:r w:rsidR="006D199A" w:rsidRPr="006D199A">
        <w:rPr>
          <w:rFonts w:ascii="Rubik" w:eastAsia="Rubik" w:hAnsi="Rubik" w:cs="Rubik"/>
          <w:color w:val="002060"/>
          <w:sz w:val="18"/>
          <w:szCs w:val="18"/>
        </w:rPr>
        <w:t xml:space="preserve"> y </w:t>
      </w:r>
      <w:r w:rsidR="006D199A">
        <w:rPr>
          <w:rFonts w:ascii="Rubik" w:eastAsia="Rubik" w:hAnsi="Rubik" w:cs="Rubik"/>
          <w:color w:val="002060"/>
          <w:sz w:val="18"/>
          <w:szCs w:val="18"/>
        </w:rPr>
        <w:t>clínica</w:t>
      </w:r>
      <w:r w:rsidR="006D199A" w:rsidRPr="006D199A">
        <w:rPr>
          <w:rFonts w:ascii="Rubik" w:eastAsia="Rubik" w:hAnsi="Rubik" w:cs="Rubik"/>
          <w:color w:val="002060"/>
          <w:sz w:val="18"/>
          <w:szCs w:val="18"/>
        </w:rPr>
        <w:t xml:space="preserve">) y la </w:t>
      </w:r>
      <w:proofErr w:type="spellStart"/>
      <w:proofErr w:type="gramStart"/>
      <w:r w:rsidR="006D199A" w:rsidRPr="006D199A">
        <w:rPr>
          <w:rFonts w:ascii="Rubik" w:eastAsia="Rubik" w:hAnsi="Rubik" w:cs="Rubik"/>
          <w:color w:val="002060"/>
          <w:sz w:val="18"/>
          <w:szCs w:val="18"/>
        </w:rPr>
        <w:t>joint</w:t>
      </w:r>
      <w:proofErr w:type="spellEnd"/>
      <w:r w:rsidR="006D199A" w:rsidRPr="006D199A">
        <w:rPr>
          <w:rFonts w:ascii="Rubik" w:eastAsia="Rubik" w:hAnsi="Rubik" w:cs="Rubik"/>
          <w:color w:val="002060"/>
          <w:sz w:val="18"/>
          <w:szCs w:val="18"/>
        </w:rPr>
        <w:t>-venture</w:t>
      </w:r>
      <w:proofErr w:type="gramEnd"/>
      <w:r w:rsidR="006D199A" w:rsidRPr="006D199A">
        <w:rPr>
          <w:rFonts w:ascii="Rubik" w:eastAsia="Rubik" w:hAnsi="Rubik" w:cs="Rubik"/>
          <w:color w:val="002060"/>
          <w:sz w:val="18"/>
          <w:szCs w:val="18"/>
        </w:rPr>
        <w:t xml:space="preserve"> </w:t>
      </w:r>
      <w:proofErr w:type="spellStart"/>
      <w:r w:rsidR="006D199A" w:rsidRPr="006D199A">
        <w:rPr>
          <w:rFonts w:ascii="Rubik" w:eastAsia="Rubik" w:hAnsi="Rubik" w:cs="Rubik"/>
          <w:color w:val="002060"/>
          <w:sz w:val="18"/>
          <w:szCs w:val="18"/>
        </w:rPr>
        <w:t>Lactalis</w:t>
      </w:r>
      <w:proofErr w:type="spellEnd"/>
      <w:r w:rsidR="006D199A" w:rsidRPr="006D199A">
        <w:rPr>
          <w:rFonts w:ascii="Rubik" w:eastAsia="Rubik" w:hAnsi="Rubik" w:cs="Rubik"/>
          <w:color w:val="002060"/>
          <w:sz w:val="18"/>
          <w:szCs w:val="18"/>
        </w:rPr>
        <w:t xml:space="preserve"> Nestlé (yogures y postres).</w:t>
      </w:r>
      <w:r w:rsidR="006D199A">
        <w:rPr>
          <w:rFonts w:ascii="Rubik" w:eastAsia="Rubik" w:hAnsi="Rubik" w:cs="Rubik"/>
          <w:color w:val="002060"/>
          <w:sz w:val="18"/>
          <w:szCs w:val="18"/>
        </w:rPr>
        <w:t xml:space="preserve"> </w:t>
      </w:r>
      <w:proofErr w:type="spellStart"/>
      <w:r w:rsidRPr="008D46CC">
        <w:rPr>
          <w:rFonts w:ascii="Rubik" w:eastAsia="Rubik" w:hAnsi="Rubik" w:cs="Rubik"/>
          <w:color w:val="002060"/>
          <w:sz w:val="18"/>
          <w:szCs w:val="18"/>
        </w:rPr>
        <w:t>Lactalis</w:t>
      </w:r>
      <w:proofErr w:type="spellEnd"/>
      <w:r w:rsidRPr="008D46CC">
        <w:rPr>
          <w:rFonts w:ascii="Rubik" w:eastAsia="Rubik" w:hAnsi="Rubik" w:cs="Rubik"/>
          <w:color w:val="002060"/>
          <w:sz w:val="18"/>
          <w:szCs w:val="18"/>
        </w:rPr>
        <w:t xml:space="preserve"> apuesta por la sostenibilidad en toda la cadena de valor láctea, la economía circular y la descarbonización, con objetivos climáticos validados por </w:t>
      </w:r>
      <w:proofErr w:type="spellStart"/>
      <w:r w:rsidRPr="008D46CC">
        <w:rPr>
          <w:rFonts w:ascii="Rubik" w:eastAsia="Rubik" w:hAnsi="Rubik" w:cs="Rubik"/>
          <w:color w:val="002060"/>
          <w:sz w:val="18"/>
          <w:szCs w:val="18"/>
        </w:rPr>
        <w:t>SBTi</w:t>
      </w:r>
      <w:proofErr w:type="spellEnd"/>
      <w:r w:rsidRPr="008D46CC">
        <w:rPr>
          <w:rFonts w:ascii="Rubik" w:eastAsia="Rubik" w:hAnsi="Rubik" w:cs="Rubik"/>
          <w:color w:val="002060"/>
          <w:sz w:val="18"/>
          <w:szCs w:val="18"/>
        </w:rPr>
        <w:t>.</w:t>
      </w:r>
      <w:r w:rsidR="006D199A">
        <w:rPr>
          <w:rFonts w:ascii="Rubik" w:eastAsia="Rubik" w:hAnsi="Rubik" w:cs="Rubik"/>
          <w:color w:val="002060"/>
          <w:sz w:val="18"/>
          <w:szCs w:val="18"/>
        </w:rPr>
        <w:t xml:space="preserve"> </w:t>
      </w:r>
      <w:r w:rsidRPr="008D46CC">
        <w:rPr>
          <w:rFonts w:ascii="Rubik" w:eastAsia="Rubik" w:hAnsi="Rubik" w:cs="Rubik"/>
          <w:color w:val="002060"/>
          <w:sz w:val="18"/>
          <w:szCs w:val="18"/>
        </w:rPr>
        <w:t>Forma parte de</w:t>
      </w:r>
      <w:r w:rsidR="006D199A">
        <w:rPr>
          <w:rFonts w:ascii="Rubik" w:eastAsia="Rubik" w:hAnsi="Rubik" w:cs="Rubik"/>
          <w:color w:val="002060"/>
          <w:sz w:val="18"/>
          <w:szCs w:val="18"/>
        </w:rPr>
        <w:t xml:space="preserve"> </w:t>
      </w:r>
      <w:proofErr w:type="spellStart"/>
      <w:r w:rsidRPr="008D46CC">
        <w:rPr>
          <w:rFonts w:ascii="Rubik" w:eastAsia="Rubik" w:hAnsi="Rubik" w:cs="Rubik"/>
          <w:color w:val="002060"/>
          <w:sz w:val="18"/>
          <w:szCs w:val="18"/>
        </w:rPr>
        <w:t>Lactalis</w:t>
      </w:r>
      <w:proofErr w:type="spellEnd"/>
      <w:r w:rsidRPr="008D46CC">
        <w:rPr>
          <w:rFonts w:ascii="Rubik" w:eastAsia="Rubik" w:hAnsi="Rubik" w:cs="Rubik"/>
          <w:color w:val="002060"/>
          <w:sz w:val="18"/>
          <w:szCs w:val="18"/>
        </w:rPr>
        <w:t>, líder mundial del sector, presente en 150 países con más de 85.500 colaboradores y 266 centros de producción.</w:t>
      </w:r>
      <w:r w:rsidR="006D199A">
        <w:rPr>
          <w:rFonts w:ascii="Rubik" w:eastAsia="Rubik" w:hAnsi="Rubik" w:cs="Rubik"/>
          <w:color w:val="002060"/>
          <w:sz w:val="18"/>
          <w:szCs w:val="18"/>
        </w:rPr>
        <w:t xml:space="preserve"> </w:t>
      </w:r>
      <w:r w:rsidR="00CB5D57">
        <w:rPr>
          <w:rFonts w:ascii="Rubik" w:eastAsia="Rubik" w:hAnsi="Rubik" w:cs="Rubik"/>
          <w:color w:val="002060"/>
          <w:sz w:val="18"/>
          <w:szCs w:val="18"/>
        </w:rPr>
        <w:t xml:space="preserve">Más información en </w:t>
      </w:r>
      <w:hyperlink r:id="rId9">
        <w:r w:rsidR="00CB5D57">
          <w:rPr>
            <w:rFonts w:ascii="Rubik" w:eastAsia="Rubik" w:hAnsi="Rubik" w:cs="Rubik"/>
            <w:color w:val="0000FF"/>
            <w:sz w:val="18"/>
            <w:szCs w:val="18"/>
            <w:u w:val="single"/>
          </w:rPr>
          <w:t>www.lactalis.es</w:t>
        </w:r>
      </w:hyperlink>
    </w:p>
    <w:p w14:paraId="52AD1083" w14:textId="12A667EE" w:rsidR="00B13A9B" w:rsidRPr="00604451" w:rsidRDefault="00EF3082" w:rsidP="00B13A9B">
      <w:pPr>
        <w:spacing w:after="0" w:line="240" w:lineRule="auto"/>
        <w:jc w:val="both"/>
        <w:rPr>
          <w:rFonts w:ascii="Rubik" w:eastAsia="SimSun" w:hAnsi="Rubik" w:cs="Rubik"/>
          <w:b/>
          <w:bCs/>
          <w:color w:val="002060"/>
          <w:sz w:val="18"/>
          <w:szCs w:val="18"/>
          <w:lang w:eastAsia="zh-CN"/>
        </w:rPr>
      </w:pPr>
      <w:r>
        <w:rPr>
          <w:rFonts w:ascii="Rubik" w:eastAsia="SimSun" w:hAnsi="Rubik" w:cs="Rubik"/>
          <w:b/>
          <w:bCs/>
          <w:color w:val="002060"/>
          <w:sz w:val="18"/>
          <w:szCs w:val="18"/>
          <w:lang w:eastAsia="zh-CN"/>
        </w:rPr>
        <w:br/>
      </w:r>
      <w:r w:rsidR="00B13A9B">
        <w:rPr>
          <w:rFonts w:ascii="Rubik" w:eastAsia="SimSun" w:hAnsi="Rubik" w:cs="Rubik"/>
          <w:b/>
          <w:bCs/>
          <w:color w:val="002060"/>
          <w:sz w:val="18"/>
          <w:szCs w:val="18"/>
          <w:lang w:eastAsia="zh-CN"/>
        </w:rPr>
        <w:t>CONTACTOS DE PRENSA LACTALIS ESPAÑA</w:t>
      </w:r>
    </w:p>
    <w:p w14:paraId="545F4270" w14:textId="77777777" w:rsidR="00B13A9B" w:rsidRPr="00604451" w:rsidRDefault="00B13A9B" w:rsidP="00B13A9B">
      <w:pPr>
        <w:spacing w:after="0" w:line="240" w:lineRule="auto"/>
        <w:jc w:val="both"/>
        <w:rPr>
          <w:rFonts w:ascii="Rubik" w:eastAsia="SimSun" w:hAnsi="Rubik" w:cs="Rubik"/>
          <w:b/>
          <w:bCs/>
          <w:color w:val="002060"/>
          <w:sz w:val="18"/>
          <w:szCs w:val="18"/>
          <w:lang w:eastAsia="zh-CN"/>
        </w:rPr>
      </w:pPr>
    </w:p>
    <w:p w14:paraId="65849C26" w14:textId="77777777" w:rsidR="00B13A9B" w:rsidRPr="00604451" w:rsidRDefault="00B13A9B" w:rsidP="00B13A9B">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Jorge Oliva</w:t>
      </w:r>
    </w:p>
    <w:p w14:paraId="2B67595D"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Director de Comunicación y Asuntos Públicos</w:t>
      </w:r>
    </w:p>
    <w:p w14:paraId="36DC0C6B" w14:textId="77777777" w:rsidR="00B13A9B" w:rsidRDefault="00B13A9B" w:rsidP="00B13A9B">
      <w:pPr>
        <w:spacing w:after="0" w:line="240" w:lineRule="auto"/>
        <w:jc w:val="both"/>
        <w:rPr>
          <w:rFonts w:ascii="Rubik" w:eastAsia="SimSun" w:hAnsi="Rubik" w:cs="Rubik"/>
          <w:sz w:val="18"/>
          <w:szCs w:val="18"/>
          <w:lang w:eastAsia="zh-CN"/>
        </w:rPr>
      </w:pPr>
      <w:hyperlink r:id="rId10" w:history="1">
        <w:r w:rsidRPr="00F47E6C">
          <w:rPr>
            <w:rStyle w:val="Hipervnculo"/>
            <w:rFonts w:ascii="Rubik" w:eastAsia="SimSun" w:hAnsi="Rubik" w:cs="Rubik"/>
            <w:sz w:val="18"/>
            <w:szCs w:val="18"/>
            <w:lang w:eastAsia="zh-CN"/>
          </w:rPr>
          <w:t>jorge.oliva@es.lactalis.com</w:t>
        </w:r>
      </w:hyperlink>
    </w:p>
    <w:p w14:paraId="32D53139"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Tel. 689 381 234</w:t>
      </w:r>
    </w:p>
    <w:p w14:paraId="37CE3512"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p>
    <w:p w14:paraId="7CD6B373" w14:textId="77777777" w:rsidR="00B13A9B" w:rsidRPr="00604451" w:rsidRDefault="00B13A9B" w:rsidP="00B13A9B">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Juan Miguel Ramiro</w:t>
      </w:r>
    </w:p>
    <w:p w14:paraId="53AF40A8"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Responsable de Comunicación Externa</w:t>
      </w:r>
    </w:p>
    <w:p w14:paraId="05504CDE" w14:textId="77777777" w:rsidR="00B13A9B" w:rsidRDefault="00B13A9B" w:rsidP="00B13A9B">
      <w:pPr>
        <w:spacing w:after="0" w:line="240" w:lineRule="auto"/>
        <w:jc w:val="both"/>
        <w:rPr>
          <w:rFonts w:ascii="Rubik" w:eastAsia="SimSun" w:hAnsi="Rubik" w:cs="Rubik"/>
          <w:sz w:val="18"/>
          <w:szCs w:val="18"/>
          <w:lang w:eastAsia="zh-CN"/>
        </w:rPr>
      </w:pPr>
      <w:hyperlink r:id="rId11" w:history="1">
        <w:r w:rsidRPr="00F90E21">
          <w:rPr>
            <w:rStyle w:val="Hipervnculo"/>
            <w:rFonts w:ascii="Rubik" w:eastAsia="SimSun" w:hAnsi="Rubik" w:cs="Rubik"/>
            <w:sz w:val="18"/>
            <w:szCs w:val="18"/>
            <w:lang w:eastAsia="zh-CN"/>
          </w:rPr>
          <w:t>juanmiguel.ramiro@es.lactalis.com</w:t>
        </w:r>
      </w:hyperlink>
    </w:p>
    <w:p w14:paraId="74A1A056" w14:textId="77777777" w:rsidR="00B13A9B" w:rsidRPr="00604451" w:rsidRDefault="00B13A9B" w:rsidP="00B13A9B">
      <w:pPr>
        <w:spacing w:after="0" w:line="240" w:lineRule="auto"/>
        <w:jc w:val="both"/>
        <w:rPr>
          <w:rFonts w:ascii="Rubik" w:eastAsia="SimSun" w:hAnsi="Rubik" w:cs="Rubik"/>
          <w:color w:val="002060"/>
          <w:sz w:val="18"/>
          <w:szCs w:val="18"/>
          <w:u w:val="single"/>
          <w:lang w:eastAsia="zh-CN"/>
        </w:rPr>
      </w:pPr>
      <w:r w:rsidRPr="00604451">
        <w:rPr>
          <w:rFonts w:ascii="Rubik" w:eastAsia="SimSun" w:hAnsi="Rubik" w:cs="Rubik"/>
          <w:color w:val="002060"/>
          <w:sz w:val="18"/>
          <w:szCs w:val="18"/>
          <w:lang w:eastAsia="zh-CN"/>
        </w:rPr>
        <w:t>Tel. 670 865 425</w:t>
      </w:r>
    </w:p>
    <w:sectPr w:rsidR="00B13A9B" w:rsidRPr="00604451" w:rsidSect="00787DFB">
      <w:headerReference w:type="default" r:id="rId12"/>
      <w:pgSz w:w="11906" w:h="16838"/>
      <w:pgMar w:top="1985" w:right="1416" w:bottom="1135"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8D93" w14:textId="77777777" w:rsidR="00036C32" w:rsidRDefault="00036C32" w:rsidP="00B65535">
      <w:pPr>
        <w:spacing w:after="0" w:line="240" w:lineRule="auto"/>
      </w:pPr>
      <w:r>
        <w:separator/>
      </w:r>
    </w:p>
  </w:endnote>
  <w:endnote w:type="continuationSeparator" w:id="0">
    <w:p w14:paraId="0118235A" w14:textId="77777777" w:rsidR="00036C32" w:rsidRDefault="00036C32"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altName w:val="Calibri"/>
    <w:charset w:val="CC"/>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8119" w14:textId="77777777" w:rsidR="00036C32" w:rsidRDefault="00036C32" w:rsidP="00B65535">
      <w:pPr>
        <w:spacing w:after="0" w:line="240" w:lineRule="auto"/>
      </w:pPr>
      <w:r>
        <w:separator/>
      </w:r>
    </w:p>
  </w:footnote>
  <w:footnote w:type="continuationSeparator" w:id="0">
    <w:p w14:paraId="2037E25F" w14:textId="77777777" w:rsidR="00036C32" w:rsidRDefault="00036C32" w:rsidP="00B65535">
      <w:pPr>
        <w:spacing w:after="0" w:line="240" w:lineRule="auto"/>
      </w:pPr>
      <w:r>
        <w:continuationSeparator/>
      </w:r>
    </w:p>
  </w:footnote>
  <w:footnote w:id="1">
    <w:p w14:paraId="7BDE0579" w14:textId="0ADA40C2" w:rsidR="00F4744B" w:rsidRDefault="00F4744B">
      <w:pPr>
        <w:pStyle w:val="Textonotapie"/>
      </w:pPr>
      <w:r>
        <w:rPr>
          <w:rStyle w:val="Refdenotaalpie"/>
        </w:rPr>
        <w:footnoteRef/>
      </w:r>
      <w:r w:rsidRPr="00F4744B">
        <w:rPr>
          <w:lang w:val="en-US"/>
        </w:rPr>
        <w:t xml:space="preserve"> Zhao Y, Li X, Liu Y, Wang Q, Zhao J, Pan H, Chen H, Liu B, Qiao W, Lin L, Jin Y and Chen L (2025) High-calcium milk improves osteoporosis in postmenopausal women by regulating intestinal flora and steroid hormone biosynthesis. </w:t>
      </w:r>
      <w:r w:rsidRPr="00F4744B">
        <w:t xml:space="preserve">Front. </w:t>
      </w:r>
      <w:proofErr w:type="spellStart"/>
      <w:r w:rsidRPr="00F4744B">
        <w:t>Nutr</w:t>
      </w:r>
      <w:proofErr w:type="spellEnd"/>
      <w:r w:rsidRPr="00F4744B">
        <w:t xml:space="preserve">. 12:1607968. </w:t>
      </w:r>
      <w:proofErr w:type="spellStart"/>
      <w:r w:rsidRPr="00F4744B">
        <w:t>doi</w:t>
      </w:r>
      <w:proofErr w:type="spellEnd"/>
      <w:r w:rsidRPr="00F4744B">
        <w:t>: 10.3389/fnut.2025.1607968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3C15EA1A" w:rsidR="00B65535" w:rsidRDefault="00194C26">
    <w:pPr>
      <w:pStyle w:val="Encabezado"/>
    </w:pPr>
    <w:r>
      <w:rPr>
        <w:noProof/>
      </w:rPr>
      <w:drawing>
        <wp:anchor distT="0" distB="0" distL="114300" distR="114300" simplePos="0" relativeHeight="251660289" behindDoc="1" locked="0" layoutInCell="1" allowOverlap="1" wp14:anchorId="2FC2CA6D" wp14:editId="373B5936">
          <wp:simplePos x="0" y="0"/>
          <wp:positionH relativeFrom="column">
            <wp:posOffset>13970</wp:posOffset>
          </wp:positionH>
          <wp:positionV relativeFrom="paragraph">
            <wp:posOffset>50800</wp:posOffset>
          </wp:positionV>
          <wp:extent cx="739775" cy="655320"/>
          <wp:effectExtent l="0" t="0" r="3175" b="0"/>
          <wp:wrapTight wrapText="bothSides">
            <wp:wrapPolygon edited="0">
              <wp:start x="0" y="0"/>
              <wp:lineTo x="0" y="20721"/>
              <wp:lineTo x="21136" y="20721"/>
              <wp:lineTo x="21136" y="0"/>
              <wp:lineTo x="0" y="0"/>
            </wp:wrapPolygon>
          </wp:wrapTight>
          <wp:docPr id="2100544348" name="Imagen 1" descr="🌟 ¡Conoce el Instituto Puleva de Nutrición! 🌟 - CEE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onoce el Instituto Puleva de Nutrición! 🌟 - CEEB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A6585">
      <w:rPr>
        <w:noProof/>
      </w:rPr>
      <w:drawing>
        <wp:anchor distT="0" distB="0" distL="114300" distR="114300" simplePos="0" relativeHeight="251658241" behindDoc="1" locked="0" layoutInCell="1" allowOverlap="1" wp14:anchorId="408ACD6A" wp14:editId="2F71CEC3">
          <wp:simplePos x="0" y="0"/>
          <wp:positionH relativeFrom="column">
            <wp:posOffset>4195445</wp:posOffset>
          </wp:positionH>
          <wp:positionV relativeFrom="paragraph">
            <wp:posOffset>112395</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949542225"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BCF"/>
    <w:multiLevelType w:val="multilevel"/>
    <w:tmpl w:val="F65E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837D8"/>
    <w:multiLevelType w:val="multilevel"/>
    <w:tmpl w:val="4916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C23001E"/>
    <w:multiLevelType w:val="multilevel"/>
    <w:tmpl w:val="809E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D6123B"/>
    <w:multiLevelType w:val="hybridMultilevel"/>
    <w:tmpl w:val="33DA9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120BCC"/>
    <w:multiLevelType w:val="hybridMultilevel"/>
    <w:tmpl w:val="8DAA36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1869AD"/>
    <w:multiLevelType w:val="multilevel"/>
    <w:tmpl w:val="C97E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965656">
    <w:abstractNumId w:val="2"/>
  </w:num>
  <w:num w:numId="2" w16cid:durableId="616520604">
    <w:abstractNumId w:val="4"/>
  </w:num>
  <w:num w:numId="3" w16cid:durableId="430051966">
    <w:abstractNumId w:val="0"/>
  </w:num>
  <w:num w:numId="4" w16cid:durableId="959452610">
    <w:abstractNumId w:val="3"/>
  </w:num>
  <w:num w:numId="5" w16cid:durableId="2108386763">
    <w:abstractNumId w:val="5"/>
  </w:num>
  <w:num w:numId="6" w16cid:durableId="696662139">
    <w:abstractNumId w:val="6"/>
  </w:num>
  <w:num w:numId="7" w16cid:durableId="1583488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20E25"/>
    <w:rsid w:val="000239C6"/>
    <w:rsid w:val="00036548"/>
    <w:rsid w:val="00036C32"/>
    <w:rsid w:val="0008248C"/>
    <w:rsid w:val="00086967"/>
    <w:rsid w:val="0008753E"/>
    <w:rsid w:val="0008762E"/>
    <w:rsid w:val="00094BBB"/>
    <w:rsid w:val="0009645A"/>
    <w:rsid w:val="00097950"/>
    <w:rsid w:val="000A126D"/>
    <w:rsid w:val="000A25C4"/>
    <w:rsid w:val="000A37F7"/>
    <w:rsid w:val="000A75F3"/>
    <w:rsid w:val="000D357B"/>
    <w:rsid w:val="000D76DE"/>
    <w:rsid w:val="000E77AA"/>
    <w:rsid w:val="000F0253"/>
    <w:rsid w:val="00120A22"/>
    <w:rsid w:val="001222FF"/>
    <w:rsid w:val="00137B4D"/>
    <w:rsid w:val="0014645C"/>
    <w:rsid w:val="001561D7"/>
    <w:rsid w:val="00190114"/>
    <w:rsid w:val="00191959"/>
    <w:rsid w:val="00192CB6"/>
    <w:rsid w:val="00194C26"/>
    <w:rsid w:val="001A04E9"/>
    <w:rsid w:val="001B1FA6"/>
    <w:rsid w:val="001C4542"/>
    <w:rsid w:val="001E0E3F"/>
    <w:rsid w:val="001E37C3"/>
    <w:rsid w:val="001F5B87"/>
    <w:rsid w:val="00202C2E"/>
    <w:rsid w:val="0021616B"/>
    <w:rsid w:val="00224564"/>
    <w:rsid w:val="00226E8E"/>
    <w:rsid w:val="00230A36"/>
    <w:rsid w:val="0023479E"/>
    <w:rsid w:val="00235345"/>
    <w:rsid w:val="002424E6"/>
    <w:rsid w:val="00243F0B"/>
    <w:rsid w:val="002447EF"/>
    <w:rsid w:val="00244B77"/>
    <w:rsid w:val="002504C8"/>
    <w:rsid w:val="0026073B"/>
    <w:rsid w:val="00260CD2"/>
    <w:rsid w:val="0026373E"/>
    <w:rsid w:val="00272694"/>
    <w:rsid w:val="00272D78"/>
    <w:rsid w:val="0027666D"/>
    <w:rsid w:val="00287BD4"/>
    <w:rsid w:val="002B0334"/>
    <w:rsid w:val="002B4230"/>
    <w:rsid w:val="002C09A0"/>
    <w:rsid w:val="002E12A0"/>
    <w:rsid w:val="002E561A"/>
    <w:rsid w:val="002E6308"/>
    <w:rsid w:val="002F159F"/>
    <w:rsid w:val="00301B9D"/>
    <w:rsid w:val="00312800"/>
    <w:rsid w:val="00315C93"/>
    <w:rsid w:val="0032117D"/>
    <w:rsid w:val="0033241B"/>
    <w:rsid w:val="00344C0F"/>
    <w:rsid w:val="00351E3E"/>
    <w:rsid w:val="00375F26"/>
    <w:rsid w:val="00380528"/>
    <w:rsid w:val="003B12B5"/>
    <w:rsid w:val="003B21AA"/>
    <w:rsid w:val="003B2F9E"/>
    <w:rsid w:val="003B75CA"/>
    <w:rsid w:val="003D4DB0"/>
    <w:rsid w:val="003E41D8"/>
    <w:rsid w:val="003E4AA2"/>
    <w:rsid w:val="003E7394"/>
    <w:rsid w:val="003F3F18"/>
    <w:rsid w:val="003F700F"/>
    <w:rsid w:val="004012AD"/>
    <w:rsid w:val="00414ECB"/>
    <w:rsid w:val="00422816"/>
    <w:rsid w:val="004549DF"/>
    <w:rsid w:val="004604B3"/>
    <w:rsid w:val="004A1E10"/>
    <w:rsid w:val="004B47AF"/>
    <w:rsid w:val="004B7C4C"/>
    <w:rsid w:val="004D25FD"/>
    <w:rsid w:val="004F1B7A"/>
    <w:rsid w:val="004F2741"/>
    <w:rsid w:val="0050380A"/>
    <w:rsid w:val="005658DD"/>
    <w:rsid w:val="00566E47"/>
    <w:rsid w:val="00573865"/>
    <w:rsid w:val="0057429F"/>
    <w:rsid w:val="005838EE"/>
    <w:rsid w:val="00585218"/>
    <w:rsid w:val="005B3F75"/>
    <w:rsid w:val="005B5235"/>
    <w:rsid w:val="005C22A4"/>
    <w:rsid w:val="005D3291"/>
    <w:rsid w:val="005E6648"/>
    <w:rsid w:val="005F4589"/>
    <w:rsid w:val="00607F05"/>
    <w:rsid w:val="00626122"/>
    <w:rsid w:val="0063288E"/>
    <w:rsid w:val="00635047"/>
    <w:rsid w:val="00636A45"/>
    <w:rsid w:val="006434DF"/>
    <w:rsid w:val="00663A2C"/>
    <w:rsid w:val="00666E68"/>
    <w:rsid w:val="006709F2"/>
    <w:rsid w:val="0067122D"/>
    <w:rsid w:val="006759A2"/>
    <w:rsid w:val="006955CF"/>
    <w:rsid w:val="0069596E"/>
    <w:rsid w:val="00697655"/>
    <w:rsid w:val="006A5B25"/>
    <w:rsid w:val="006C4289"/>
    <w:rsid w:val="006C6B83"/>
    <w:rsid w:val="006D199A"/>
    <w:rsid w:val="006D6E78"/>
    <w:rsid w:val="006D72CC"/>
    <w:rsid w:val="006E01F6"/>
    <w:rsid w:val="006E1047"/>
    <w:rsid w:val="00711C5D"/>
    <w:rsid w:val="00711F82"/>
    <w:rsid w:val="00714196"/>
    <w:rsid w:val="00727DD9"/>
    <w:rsid w:val="00733853"/>
    <w:rsid w:val="00741A44"/>
    <w:rsid w:val="0074241F"/>
    <w:rsid w:val="0076025D"/>
    <w:rsid w:val="00763411"/>
    <w:rsid w:val="007702CB"/>
    <w:rsid w:val="00774CDC"/>
    <w:rsid w:val="007756B3"/>
    <w:rsid w:val="007800E2"/>
    <w:rsid w:val="00787DFB"/>
    <w:rsid w:val="00790AED"/>
    <w:rsid w:val="007A6544"/>
    <w:rsid w:val="007B37A3"/>
    <w:rsid w:val="007B5FB7"/>
    <w:rsid w:val="007D3902"/>
    <w:rsid w:val="007D60EB"/>
    <w:rsid w:val="007D71CA"/>
    <w:rsid w:val="007E1A4C"/>
    <w:rsid w:val="007E2A98"/>
    <w:rsid w:val="007F0723"/>
    <w:rsid w:val="0080285F"/>
    <w:rsid w:val="00837E4C"/>
    <w:rsid w:val="008459BE"/>
    <w:rsid w:val="00847DB5"/>
    <w:rsid w:val="00851DCB"/>
    <w:rsid w:val="0086034D"/>
    <w:rsid w:val="008A42E9"/>
    <w:rsid w:val="008A6585"/>
    <w:rsid w:val="008B1D32"/>
    <w:rsid w:val="008B7FE3"/>
    <w:rsid w:val="008C3CE7"/>
    <w:rsid w:val="008D1A35"/>
    <w:rsid w:val="008D46CC"/>
    <w:rsid w:val="008E3138"/>
    <w:rsid w:val="008F58A5"/>
    <w:rsid w:val="008F7815"/>
    <w:rsid w:val="00900572"/>
    <w:rsid w:val="009073E9"/>
    <w:rsid w:val="00911268"/>
    <w:rsid w:val="0091127A"/>
    <w:rsid w:val="00922B08"/>
    <w:rsid w:val="00933F32"/>
    <w:rsid w:val="00934BF6"/>
    <w:rsid w:val="009513A3"/>
    <w:rsid w:val="00966E0F"/>
    <w:rsid w:val="00985C7E"/>
    <w:rsid w:val="00987C25"/>
    <w:rsid w:val="009909C0"/>
    <w:rsid w:val="009B73DA"/>
    <w:rsid w:val="009D10A7"/>
    <w:rsid w:val="009D2AF6"/>
    <w:rsid w:val="009D4CCE"/>
    <w:rsid w:val="009D7D2D"/>
    <w:rsid w:val="009E35AB"/>
    <w:rsid w:val="00A10503"/>
    <w:rsid w:val="00A37DFB"/>
    <w:rsid w:val="00A41D34"/>
    <w:rsid w:val="00A42D82"/>
    <w:rsid w:val="00A504D5"/>
    <w:rsid w:val="00A54916"/>
    <w:rsid w:val="00A56121"/>
    <w:rsid w:val="00A63077"/>
    <w:rsid w:val="00A70580"/>
    <w:rsid w:val="00A84998"/>
    <w:rsid w:val="00A96A18"/>
    <w:rsid w:val="00AC4586"/>
    <w:rsid w:val="00AC53DE"/>
    <w:rsid w:val="00AD0466"/>
    <w:rsid w:val="00AD4448"/>
    <w:rsid w:val="00AE6C1C"/>
    <w:rsid w:val="00B070E9"/>
    <w:rsid w:val="00B13A9B"/>
    <w:rsid w:val="00B13C20"/>
    <w:rsid w:val="00B35720"/>
    <w:rsid w:val="00B36629"/>
    <w:rsid w:val="00B36A57"/>
    <w:rsid w:val="00B42972"/>
    <w:rsid w:val="00B47DFD"/>
    <w:rsid w:val="00B52727"/>
    <w:rsid w:val="00B571CC"/>
    <w:rsid w:val="00B6016C"/>
    <w:rsid w:val="00B6024B"/>
    <w:rsid w:val="00B6117B"/>
    <w:rsid w:val="00B65535"/>
    <w:rsid w:val="00B72083"/>
    <w:rsid w:val="00B86C3E"/>
    <w:rsid w:val="00B96920"/>
    <w:rsid w:val="00BA4252"/>
    <w:rsid w:val="00BA625B"/>
    <w:rsid w:val="00BC5821"/>
    <w:rsid w:val="00BC5F35"/>
    <w:rsid w:val="00BC64CC"/>
    <w:rsid w:val="00BD6AFA"/>
    <w:rsid w:val="00BE1F8E"/>
    <w:rsid w:val="00BE38D9"/>
    <w:rsid w:val="00BF38CD"/>
    <w:rsid w:val="00C046BE"/>
    <w:rsid w:val="00C31896"/>
    <w:rsid w:val="00C40E84"/>
    <w:rsid w:val="00C44C83"/>
    <w:rsid w:val="00C92129"/>
    <w:rsid w:val="00C9589C"/>
    <w:rsid w:val="00CB5D57"/>
    <w:rsid w:val="00CB784A"/>
    <w:rsid w:val="00CC063B"/>
    <w:rsid w:val="00CD05AE"/>
    <w:rsid w:val="00CF55B3"/>
    <w:rsid w:val="00CF562C"/>
    <w:rsid w:val="00D032D6"/>
    <w:rsid w:val="00D0638A"/>
    <w:rsid w:val="00D1618D"/>
    <w:rsid w:val="00D2128F"/>
    <w:rsid w:val="00D21F26"/>
    <w:rsid w:val="00D45F07"/>
    <w:rsid w:val="00D47A90"/>
    <w:rsid w:val="00D83A22"/>
    <w:rsid w:val="00D879B0"/>
    <w:rsid w:val="00DA7FDA"/>
    <w:rsid w:val="00DB3BA3"/>
    <w:rsid w:val="00DB3F04"/>
    <w:rsid w:val="00DC0F30"/>
    <w:rsid w:val="00DD4FAD"/>
    <w:rsid w:val="00DD6F2A"/>
    <w:rsid w:val="00DE23B3"/>
    <w:rsid w:val="00DE5ABD"/>
    <w:rsid w:val="00DF10C4"/>
    <w:rsid w:val="00DF5741"/>
    <w:rsid w:val="00E07B83"/>
    <w:rsid w:val="00E16961"/>
    <w:rsid w:val="00E16CA5"/>
    <w:rsid w:val="00E20F60"/>
    <w:rsid w:val="00E21C4F"/>
    <w:rsid w:val="00E301F6"/>
    <w:rsid w:val="00E34865"/>
    <w:rsid w:val="00E35874"/>
    <w:rsid w:val="00E417DD"/>
    <w:rsid w:val="00E44397"/>
    <w:rsid w:val="00E457DB"/>
    <w:rsid w:val="00E53414"/>
    <w:rsid w:val="00E62FC5"/>
    <w:rsid w:val="00E74866"/>
    <w:rsid w:val="00E75517"/>
    <w:rsid w:val="00E81A91"/>
    <w:rsid w:val="00EC6F13"/>
    <w:rsid w:val="00EC70A0"/>
    <w:rsid w:val="00EF3082"/>
    <w:rsid w:val="00EF7C12"/>
    <w:rsid w:val="00F004A5"/>
    <w:rsid w:val="00F073D4"/>
    <w:rsid w:val="00F346AB"/>
    <w:rsid w:val="00F4002C"/>
    <w:rsid w:val="00F4744B"/>
    <w:rsid w:val="00F85EE0"/>
    <w:rsid w:val="00F90B05"/>
    <w:rsid w:val="00F9368A"/>
    <w:rsid w:val="00F96363"/>
    <w:rsid w:val="00FB5915"/>
    <w:rsid w:val="00FD16CB"/>
    <w:rsid w:val="00FD59A5"/>
    <w:rsid w:val="00FE28DB"/>
    <w:rsid w:val="00FE3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 w:type="paragraph" w:styleId="NormalWeb">
    <w:name w:val="Normal (Web)"/>
    <w:basedOn w:val="Normal"/>
    <w:uiPriority w:val="99"/>
    <w:semiHidden/>
    <w:unhideWhenUsed/>
    <w:rsid w:val="00663A2C"/>
    <w:rPr>
      <w:rFonts w:ascii="Times New Roman" w:hAnsi="Times New Roman" w:cs="Times New Roman"/>
      <w:sz w:val="24"/>
      <w:szCs w:val="24"/>
    </w:rPr>
  </w:style>
  <w:style w:type="paragraph" w:styleId="Revisin">
    <w:name w:val="Revision"/>
    <w:hidden/>
    <w:uiPriority w:val="99"/>
    <w:semiHidden/>
    <w:rsid w:val="006712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30499">
      <w:bodyDiv w:val="1"/>
      <w:marLeft w:val="0"/>
      <w:marRight w:val="0"/>
      <w:marTop w:val="0"/>
      <w:marBottom w:val="0"/>
      <w:divBdr>
        <w:top w:val="none" w:sz="0" w:space="0" w:color="auto"/>
        <w:left w:val="none" w:sz="0" w:space="0" w:color="auto"/>
        <w:bottom w:val="none" w:sz="0" w:space="0" w:color="auto"/>
        <w:right w:val="none" w:sz="0" w:space="0" w:color="auto"/>
      </w:divBdr>
    </w:div>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1666082421">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miguel.ramiro@es.lactalis.com" TargetMode="External"/><Relationship Id="rId5" Type="http://schemas.openxmlformats.org/officeDocument/2006/relationships/webSettings" Target="webSettings.xml"/><Relationship Id="rId10" Type="http://schemas.openxmlformats.org/officeDocument/2006/relationships/hyperlink" Target="mailto:jorge.oliva@es.lactalis.com" TargetMode="External"/><Relationship Id="rId4" Type="http://schemas.openxmlformats.org/officeDocument/2006/relationships/settings" Target="settings.xml"/><Relationship Id="rId9" Type="http://schemas.openxmlformats.org/officeDocument/2006/relationships/hyperlink" Target="http://www.lactali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1682</Words>
  <Characters>9255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María Yurrita</cp:lastModifiedBy>
  <cp:revision>2</cp:revision>
  <cp:lastPrinted>2017-04-25T10:58:00Z</cp:lastPrinted>
  <dcterms:created xsi:type="dcterms:W3CDTF">2026-02-11T09:35:00Z</dcterms:created>
  <dcterms:modified xsi:type="dcterms:W3CDTF">2026-02-11T09:35:00Z</dcterms:modified>
</cp:coreProperties>
</file>