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2E268CC8" w14:textId="27244DF5" w:rsidR="00382BC9" w:rsidRPr="00DF4B89" w:rsidRDefault="00DF4B89" w:rsidP="00DF4B89">
      <w:pPr>
        <w:spacing w:after="120" w:line="240" w:lineRule="auto"/>
        <w:jc w:val="center"/>
        <w:rPr>
          <w:rFonts w:asciiTheme="majorHAnsi" w:hAnsiTheme="majorHAnsi" w:cstheme="majorHAnsi"/>
          <w:kern w:val="0"/>
          <w:shd w:val="clear" w:color="auto" w:fill="FEFFFE"/>
          <w14:ligatures w14:val="none"/>
        </w:rPr>
      </w:pPr>
      <w:r w:rsidRPr="00DF4B89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Alimentación refuerza su apuesta por el talento joven</w:t>
      </w:r>
      <w:r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y abre nuevas oportunidades laborales</w:t>
      </w:r>
      <w:r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br/>
      </w:r>
    </w:p>
    <w:p w14:paraId="0325D51F" w14:textId="3B7E8F00" w:rsidR="0069638C" w:rsidRPr="00382BC9" w:rsidRDefault="00DF4B89" w:rsidP="0069638C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F4B89">
        <w:t xml:space="preserve">La </w:t>
      </w:r>
      <w:r>
        <w:t>cárnica toledana</w:t>
      </w:r>
      <w:r w:rsidRPr="00DF4B89">
        <w:t xml:space="preserve"> incorp</w:t>
      </w:r>
      <w:r>
        <w:t>ora</w:t>
      </w:r>
      <w:r w:rsidRPr="00DF4B89">
        <w:t xml:space="preserve"> a más de </w:t>
      </w:r>
      <w:r>
        <w:t>una veintena de</w:t>
      </w:r>
      <w:r w:rsidRPr="00DF4B89">
        <w:t xml:space="preserve"> estudiantes en prácticas y continúa impulsando </w:t>
      </w:r>
      <w:r w:rsidR="00A33E4D" w:rsidRPr="00A33E4D">
        <w:t>las oportunidades profesionales en la empresa</w:t>
      </w:r>
      <w:r>
        <w:t>.</w:t>
      </w:r>
    </w:p>
    <w:p w14:paraId="7AB38D38" w14:textId="77777777" w:rsidR="00382BC9" w:rsidRPr="0069638C" w:rsidRDefault="00382BC9" w:rsidP="00382BC9">
      <w:pPr>
        <w:pStyle w:val="Prrafodelista"/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C655C61" w14:textId="07CA66F3" w:rsidR="00DF4B89" w:rsidRPr="00DF4B89" w:rsidRDefault="0069638C" w:rsidP="00DF4B89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Toledo, </w:t>
      </w:r>
      <w:r w:rsidR="00ED4760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24</w:t>
      </w:r>
      <w:r w:rsidR="00592CB2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r w:rsidR="00382BC9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marzo</w:t>
      </w:r>
      <w:r w:rsidR="00592CB2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2026</w:t>
      </w:r>
      <w:r w:rsidRPr="0069638C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</w:t>
      </w:r>
      <w:r w:rsidR="00DF4B89" w:rsidRPr="00DF4B8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Grupo Tello Alimentación reafirma su compromiso con la formación y el desarrollo de nuevas generaciones a través de su programa anual de captación de talento, una iniciativa clave para impulsar el relevo generacional y fortalecer el crecimiento de la compañía.</w:t>
      </w:r>
    </w:p>
    <w:p w14:paraId="32C9CDEA" w14:textId="6C9FEE1D" w:rsidR="00DF4B89" w:rsidRPr="00DF4B89" w:rsidRDefault="00DF4B89" w:rsidP="00DF4B89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F4B8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Este año, el grupo da la bienvenida a un total de 25 estudiantes en prácticas, que se incorporan a diferentes áreas de la empresa: 17 en la planta de Tello, 6 en Hemosa, 1 en ECC y 1 en Miteca. Todos</w:t>
      </w:r>
      <w:r w:rsidR="00A33E4D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ellos</w:t>
      </w:r>
      <w:r w:rsidR="00A33E4D" w:rsidRPr="00A33E4D">
        <w:t xml:space="preserve"> </w:t>
      </w:r>
      <w:r w:rsidR="00A33E4D" w:rsidRPr="00A33E4D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iniciarán su formación en un entorno laboral real.</w:t>
      </w:r>
    </w:p>
    <w:p w14:paraId="3DC729B6" w14:textId="76C835E6" w:rsidR="00A833DB" w:rsidRDefault="00A833DB" w:rsidP="00C05E7A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833D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acogida ha puesto en valor la importancia de esta etapa formativa y la transmisión de valores como el compromiso, el respeto, la integridad y la confianza, entendiendo el talento joven como una pieza clave para </w:t>
      </w:r>
      <w:r w:rsidR="00AF504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el desarrollo </w:t>
      </w:r>
      <w:r w:rsidRPr="00A833D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de la compañía. En este sentido, Raúl Urdiales, director de Recursos Humanos de Grupo Tello Alimentación, señala: “El talento joven es el motor que impulsa el crecimiento de Grupo Tello. Apostamos por acompañar su </w:t>
      </w:r>
      <w:r w:rsidR="00AF504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evolución</w:t>
      </w:r>
      <w:r w:rsidRPr="00A833D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desde el inicio, porque en ellos está la base de una compañía más innovadora y preparada para el futuro”.</w:t>
      </w:r>
    </w:p>
    <w:p w14:paraId="198BF278" w14:textId="127C9989" w:rsidR="00DF4B89" w:rsidRPr="00DF4B89" w:rsidRDefault="009D2D68" w:rsidP="00DF4B89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D2D68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Los estudiantes en prácticas se incorporarán a áreas clave como Planificación de Fresco, I+D, Calidad, Marketing, Control de Costes, Mantenimiento, Organización Industrial, Informática o Prevención de Riesgos Laborales, entre otras.</w:t>
      </w:r>
    </w:p>
    <w:p w14:paraId="6D20B116" w14:textId="183B2366" w:rsidR="00C05E7A" w:rsidRDefault="00516CBA" w:rsidP="00DF4B89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6CBA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 programa, además, impulsa la empleabilidad, con cerca de un 40 % de estudiantes que continúan su trayectoria en la compañía tras su periodo formativo.</w:t>
      </w:r>
    </w:p>
    <w:p w14:paraId="0848BB30" w14:textId="2771A247" w:rsidR="00DF4B89" w:rsidRPr="00DF4B89" w:rsidRDefault="00DF4B89" w:rsidP="00DF4B89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F4B8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 paralelo, Grupo Tello Alimentación mantiene abiertas más de una decena de vacantes en distintas áreas, principalmente en producción, despiece, logística y transporte, reforzando así su capacidad operativa y generando nuevas oportunidades laborales.</w:t>
      </w:r>
    </w:p>
    <w:p w14:paraId="67C29C88" w14:textId="7FE263FF" w:rsidR="00516CBA" w:rsidRDefault="00DF4B89" w:rsidP="00441504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F4B8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 iniciativas como esta, Grupo Tello Alimentación continúa apostando por el talento, la formación y la generación de oportunidades, contribuyendo al desarrollo profesional de las nuevas generaciones y al impulso del tejido económico y social.</w:t>
      </w: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Hemosa,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0F410F7E" w14:textId="15E493B4" w:rsidR="0069638C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10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69638C" w:rsidSect="009C5365">
      <w:head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1161" w14:textId="77777777" w:rsidR="00B109E6" w:rsidRDefault="00B109E6" w:rsidP="00946BEE">
      <w:pPr>
        <w:spacing w:after="0" w:line="240" w:lineRule="auto"/>
      </w:pPr>
      <w:r>
        <w:separator/>
      </w:r>
    </w:p>
  </w:endnote>
  <w:endnote w:type="continuationSeparator" w:id="0">
    <w:p w14:paraId="0E3BCBEF" w14:textId="77777777" w:rsidR="00B109E6" w:rsidRDefault="00B109E6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D386" w14:textId="77777777" w:rsidR="00B109E6" w:rsidRDefault="00B109E6" w:rsidP="00946BEE">
      <w:pPr>
        <w:spacing w:after="0" w:line="240" w:lineRule="auto"/>
      </w:pPr>
      <w:r>
        <w:separator/>
      </w:r>
    </w:p>
  </w:footnote>
  <w:footnote w:type="continuationSeparator" w:id="0">
    <w:p w14:paraId="77C8596F" w14:textId="77777777" w:rsidR="00B109E6" w:rsidRDefault="00B109E6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CA6"/>
    <w:rsid w:val="0001405B"/>
    <w:rsid w:val="00025AEF"/>
    <w:rsid w:val="00025EAD"/>
    <w:rsid w:val="000319D3"/>
    <w:rsid w:val="00064B34"/>
    <w:rsid w:val="000722F4"/>
    <w:rsid w:val="00081C15"/>
    <w:rsid w:val="000908C3"/>
    <w:rsid w:val="00093F37"/>
    <w:rsid w:val="000A714A"/>
    <w:rsid w:val="000C17F9"/>
    <w:rsid w:val="000C7A7E"/>
    <w:rsid w:val="000D1E1F"/>
    <w:rsid w:val="000F102E"/>
    <w:rsid w:val="00103C4F"/>
    <w:rsid w:val="00112EB2"/>
    <w:rsid w:val="001141A6"/>
    <w:rsid w:val="001217CC"/>
    <w:rsid w:val="001220E4"/>
    <w:rsid w:val="001309C2"/>
    <w:rsid w:val="001434EF"/>
    <w:rsid w:val="00173659"/>
    <w:rsid w:val="00174D72"/>
    <w:rsid w:val="001767B1"/>
    <w:rsid w:val="00181996"/>
    <w:rsid w:val="00195CA0"/>
    <w:rsid w:val="001A77BB"/>
    <w:rsid w:val="001B03FC"/>
    <w:rsid w:val="001B0ADB"/>
    <w:rsid w:val="001B50E9"/>
    <w:rsid w:val="001B68F2"/>
    <w:rsid w:val="001C35B4"/>
    <w:rsid w:val="001E648E"/>
    <w:rsid w:val="001E70BC"/>
    <w:rsid w:val="00214CDF"/>
    <w:rsid w:val="00214EE5"/>
    <w:rsid w:val="00221EFB"/>
    <w:rsid w:val="002251E8"/>
    <w:rsid w:val="00241D6B"/>
    <w:rsid w:val="00252752"/>
    <w:rsid w:val="00272D05"/>
    <w:rsid w:val="002D5C8C"/>
    <w:rsid w:val="002F08F6"/>
    <w:rsid w:val="002F20D0"/>
    <w:rsid w:val="002F4698"/>
    <w:rsid w:val="00306619"/>
    <w:rsid w:val="00325CCF"/>
    <w:rsid w:val="00363429"/>
    <w:rsid w:val="00373D97"/>
    <w:rsid w:val="0037653B"/>
    <w:rsid w:val="00377F87"/>
    <w:rsid w:val="00382BC9"/>
    <w:rsid w:val="003928E4"/>
    <w:rsid w:val="003A04DC"/>
    <w:rsid w:val="003A4859"/>
    <w:rsid w:val="003C69AA"/>
    <w:rsid w:val="003D259C"/>
    <w:rsid w:val="003D4D6D"/>
    <w:rsid w:val="003D6771"/>
    <w:rsid w:val="003E36F4"/>
    <w:rsid w:val="003F5F30"/>
    <w:rsid w:val="003F6440"/>
    <w:rsid w:val="0041255D"/>
    <w:rsid w:val="0041389A"/>
    <w:rsid w:val="004271FC"/>
    <w:rsid w:val="00433C22"/>
    <w:rsid w:val="00441504"/>
    <w:rsid w:val="0045033C"/>
    <w:rsid w:val="004774BC"/>
    <w:rsid w:val="00496921"/>
    <w:rsid w:val="004D4BDF"/>
    <w:rsid w:val="004D6CCB"/>
    <w:rsid w:val="004E39B2"/>
    <w:rsid w:val="004F1EC7"/>
    <w:rsid w:val="004F2CD9"/>
    <w:rsid w:val="005021A9"/>
    <w:rsid w:val="0051639B"/>
    <w:rsid w:val="00516CBA"/>
    <w:rsid w:val="005403DA"/>
    <w:rsid w:val="00552C20"/>
    <w:rsid w:val="00582B49"/>
    <w:rsid w:val="00592CB2"/>
    <w:rsid w:val="00594CDB"/>
    <w:rsid w:val="005A5FE5"/>
    <w:rsid w:val="005A616C"/>
    <w:rsid w:val="005C2EF1"/>
    <w:rsid w:val="005D041C"/>
    <w:rsid w:val="005D2BB7"/>
    <w:rsid w:val="00601657"/>
    <w:rsid w:val="00604696"/>
    <w:rsid w:val="00617E8D"/>
    <w:rsid w:val="0062333D"/>
    <w:rsid w:val="00645649"/>
    <w:rsid w:val="00645F23"/>
    <w:rsid w:val="00651893"/>
    <w:rsid w:val="00663E17"/>
    <w:rsid w:val="00665944"/>
    <w:rsid w:val="006714A0"/>
    <w:rsid w:val="00671B6A"/>
    <w:rsid w:val="00694F68"/>
    <w:rsid w:val="0069638C"/>
    <w:rsid w:val="006B1975"/>
    <w:rsid w:val="006B231D"/>
    <w:rsid w:val="006B769E"/>
    <w:rsid w:val="006E2634"/>
    <w:rsid w:val="006E2E82"/>
    <w:rsid w:val="006F0B0D"/>
    <w:rsid w:val="006F427A"/>
    <w:rsid w:val="006F58CA"/>
    <w:rsid w:val="00705159"/>
    <w:rsid w:val="007275C9"/>
    <w:rsid w:val="00734DB7"/>
    <w:rsid w:val="00743290"/>
    <w:rsid w:val="00792F57"/>
    <w:rsid w:val="007A1C16"/>
    <w:rsid w:val="007C6FFB"/>
    <w:rsid w:val="007D3872"/>
    <w:rsid w:val="007E0F73"/>
    <w:rsid w:val="007E7E5F"/>
    <w:rsid w:val="008037A4"/>
    <w:rsid w:val="00820B51"/>
    <w:rsid w:val="008220E5"/>
    <w:rsid w:val="008420AA"/>
    <w:rsid w:val="008568EB"/>
    <w:rsid w:val="008638BF"/>
    <w:rsid w:val="00873F0F"/>
    <w:rsid w:val="00895732"/>
    <w:rsid w:val="00897BA4"/>
    <w:rsid w:val="008C4E2B"/>
    <w:rsid w:val="008C4E71"/>
    <w:rsid w:val="008C6CA6"/>
    <w:rsid w:val="008E492C"/>
    <w:rsid w:val="008F7D42"/>
    <w:rsid w:val="00917095"/>
    <w:rsid w:val="0093758E"/>
    <w:rsid w:val="00943633"/>
    <w:rsid w:val="00946BEE"/>
    <w:rsid w:val="00952A23"/>
    <w:rsid w:val="00980976"/>
    <w:rsid w:val="00983057"/>
    <w:rsid w:val="00990173"/>
    <w:rsid w:val="00993C8C"/>
    <w:rsid w:val="009C1A13"/>
    <w:rsid w:val="009C5365"/>
    <w:rsid w:val="009D2D68"/>
    <w:rsid w:val="009D38AB"/>
    <w:rsid w:val="009D7C1E"/>
    <w:rsid w:val="009E700E"/>
    <w:rsid w:val="009F3A76"/>
    <w:rsid w:val="009F4312"/>
    <w:rsid w:val="00A04BBE"/>
    <w:rsid w:val="00A1197F"/>
    <w:rsid w:val="00A2332E"/>
    <w:rsid w:val="00A23AB0"/>
    <w:rsid w:val="00A24934"/>
    <w:rsid w:val="00A33E4D"/>
    <w:rsid w:val="00A63D93"/>
    <w:rsid w:val="00A64502"/>
    <w:rsid w:val="00A81D57"/>
    <w:rsid w:val="00A833DB"/>
    <w:rsid w:val="00A93598"/>
    <w:rsid w:val="00A949BB"/>
    <w:rsid w:val="00A95CC4"/>
    <w:rsid w:val="00A95FEB"/>
    <w:rsid w:val="00AC255E"/>
    <w:rsid w:val="00AC76B5"/>
    <w:rsid w:val="00AF2AFC"/>
    <w:rsid w:val="00AF504B"/>
    <w:rsid w:val="00B109E6"/>
    <w:rsid w:val="00B3106F"/>
    <w:rsid w:val="00B6610A"/>
    <w:rsid w:val="00B93A80"/>
    <w:rsid w:val="00BA5301"/>
    <w:rsid w:val="00BC01CB"/>
    <w:rsid w:val="00BC12AC"/>
    <w:rsid w:val="00BD79CC"/>
    <w:rsid w:val="00C0302A"/>
    <w:rsid w:val="00C05E7A"/>
    <w:rsid w:val="00C13F81"/>
    <w:rsid w:val="00C6017D"/>
    <w:rsid w:val="00C80F05"/>
    <w:rsid w:val="00C90AB4"/>
    <w:rsid w:val="00C944D9"/>
    <w:rsid w:val="00CA78BA"/>
    <w:rsid w:val="00CD7575"/>
    <w:rsid w:val="00CE0707"/>
    <w:rsid w:val="00CE4B9C"/>
    <w:rsid w:val="00CE619D"/>
    <w:rsid w:val="00D22ECC"/>
    <w:rsid w:val="00D26B6B"/>
    <w:rsid w:val="00D26CCC"/>
    <w:rsid w:val="00D413D8"/>
    <w:rsid w:val="00D52468"/>
    <w:rsid w:val="00D60536"/>
    <w:rsid w:val="00D72978"/>
    <w:rsid w:val="00D843FC"/>
    <w:rsid w:val="00D90752"/>
    <w:rsid w:val="00D924E3"/>
    <w:rsid w:val="00D95199"/>
    <w:rsid w:val="00D974B2"/>
    <w:rsid w:val="00DA1936"/>
    <w:rsid w:val="00DA5BC9"/>
    <w:rsid w:val="00DB712D"/>
    <w:rsid w:val="00DE0468"/>
    <w:rsid w:val="00DE394B"/>
    <w:rsid w:val="00DF3706"/>
    <w:rsid w:val="00DF4B89"/>
    <w:rsid w:val="00E02F6B"/>
    <w:rsid w:val="00E10188"/>
    <w:rsid w:val="00E14A50"/>
    <w:rsid w:val="00E22A4D"/>
    <w:rsid w:val="00E2445E"/>
    <w:rsid w:val="00E3587E"/>
    <w:rsid w:val="00E67661"/>
    <w:rsid w:val="00E8460A"/>
    <w:rsid w:val="00E91061"/>
    <w:rsid w:val="00E96B60"/>
    <w:rsid w:val="00EA606D"/>
    <w:rsid w:val="00EB4105"/>
    <w:rsid w:val="00EC01D8"/>
    <w:rsid w:val="00ED4760"/>
    <w:rsid w:val="00ED7481"/>
    <w:rsid w:val="00EE5262"/>
    <w:rsid w:val="00EF05F8"/>
    <w:rsid w:val="00F02C7F"/>
    <w:rsid w:val="00F02E70"/>
    <w:rsid w:val="00F22509"/>
    <w:rsid w:val="00F26C52"/>
    <w:rsid w:val="00F7510D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pascual@tell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lo@meatlif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6E77-1862-4597-AC15-4F85C349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9</cp:revision>
  <cp:lastPrinted>2025-11-13T11:16:00Z</cp:lastPrinted>
  <dcterms:created xsi:type="dcterms:W3CDTF">2026-03-18T18:37:00Z</dcterms:created>
  <dcterms:modified xsi:type="dcterms:W3CDTF">2026-03-20T11:11:00Z</dcterms:modified>
</cp:coreProperties>
</file>