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2CA31" w14:textId="77777777" w:rsidR="00FE107E" w:rsidRPr="00FE107E" w:rsidRDefault="00FE107E" w:rsidP="00FE107E">
      <w:pPr>
        <w:jc w:val="center"/>
        <w:rPr>
          <w:b/>
          <w:bCs/>
          <w:color w:val="C00000"/>
          <w:sz w:val="32"/>
          <w:szCs w:val="32"/>
        </w:rPr>
      </w:pPr>
      <w:r w:rsidRPr="00FE107E">
        <w:rPr>
          <w:b/>
          <w:bCs/>
          <w:color w:val="C00000"/>
          <w:sz w:val="32"/>
          <w:szCs w:val="32"/>
        </w:rPr>
        <w:t>Juver lanza una edición de 26 monumentos españoles para dinamizar el consumo y premiar la fidelidad del bar</w:t>
      </w:r>
    </w:p>
    <w:p w14:paraId="58A397FC" w14:textId="77777777" w:rsidR="00FE107E" w:rsidRPr="00FE107E" w:rsidRDefault="00FE107E" w:rsidP="00FE107E">
      <w:pPr>
        <w:numPr>
          <w:ilvl w:val="0"/>
          <w:numId w:val="4"/>
        </w:numPr>
        <w:jc w:val="both"/>
      </w:pPr>
      <w:r w:rsidRPr="00FE107E">
        <w:t>La compañía presenta una colección de diseños inspirados en el patrimonio nacional para incentivar la rotación en su red de distribución.</w:t>
      </w:r>
    </w:p>
    <w:p w14:paraId="170A84C0" w14:textId="77777777" w:rsidR="00FE107E" w:rsidRPr="00FE107E" w:rsidRDefault="00FE107E" w:rsidP="00FE107E">
      <w:pPr>
        <w:numPr>
          <w:ilvl w:val="0"/>
          <w:numId w:val="4"/>
        </w:numPr>
        <w:jc w:val="both"/>
      </w:pPr>
      <w:r w:rsidRPr="00FE107E">
        <w:t>Con una cuota del 22,5% en volumen, la firma apuesta por el hostelero como prescriptor clave en cerca de 50.000 establecimientos asociados.</w:t>
      </w:r>
    </w:p>
    <w:p w14:paraId="7C2D698F" w14:textId="55B1B00C" w:rsidR="00FE107E" w:rsidRPr="00FE107E" w:rsidRDefault="00FE107E" w:rsidP="00FE107E">
      <w:pPr>
        <w:jc w:val="both"/>
      </w:pPr>
      <w:r w:rsidRPr="00FE107E">
        <w:rPr>
          <w:b/>
          <w:bCs/>
        </w:rPr>
        <w:t xml:space="preserve">Murcia, </w:t>
      </w:r>
      <w:r w:rsidR="0026170D">
        <w:rPr>
          <w:b/>
          <w:bCs/>
        </w:rPr>
        <w:t>26</w:t>
      </w:r>
      <w:r w:rsidRPr="00FE107E">
        <w:rPr>
          <w:b/>
          <w:bCs/>
        </w:rPr>
        <w:t xml:space="preserve"> de marzo de 2026.</w:t>
      </w:r>
      <w:r w:rsidRPr="00FE107E">
        <w:t> Juver, referente en el mercado de zumos y bebidas, da un paso más en su estrategia de</w:t>
      </w:r>
      <w:r w:rsidR="005141B8">
        <w:t xml:space="preserve"> apoyo al</w:t>
      </w:r>
      <w:r w:rsidRPr="00FE107E">
        <w:t xml:space="preserve"> canal Horeca con el lanzamiento de una propuesta diseñada para incentivar el consumo de proximidad y el turismo cultural. La marca introduce una serie exclusiva de 26 monumentos españoles en l</w:t>
      </w:r>
      <w:r w:rsidR="005141B8">
        <w:t xml:space="preserve">as tapas </w:t>
      </w:r>
      <w:r w:rsidRPr="00FE107E">
        <w:t>de sus botellines, vinculada a un sistema de incentivos que busca elevar el ticket medio y la actividad en el establecimiento.</w:t>
      </w:r>
    </w:p>
    <w:p w14:paraId="08E08974" w14:textId="77777777" w:rsidR="00FE107E" w:rsidRPr="00FE107E" w:rsidRDefault="00FE107E" w:rsidP="00FE107E">
      <w:pPr>
        <w:jc w:val="both"/>
        <w:rPr>
          <w:color w:val="C00000"/>
        </w:rPr>
      </w:pPr>
      <w:r w:rsidRPr="00FE107E">
        <w:rPr>
          <w:b/>
          <w:bCs/>
          <w:color w:val="C00000"/>
        </w:rPr>
        <w:t>La hostelería española, el centro de la estrategia</w:t>
      </w:r>
    </w:p>
    <w:p w14:paraId="75379EFD" w14:textId="11F5418D" w:rsidR="00FE107E" w:rsidRPr="00FE107E" w:rsidRDefault="00FE107E" w:rsidP="00FE107E">
      <w:pPr>
        <w:jc w:val="both"/>
      </w:pPr>
      <w:r w:rsidRPr="00FE107E">
        <w:t>El proyecto se desarrolla en el entorno donde la marca tiene mayor presencia. España cuenta con más de 260.000 puntos de hostelería y restauración, la mayor densidad de bares por habitante del mundo, y Juver opera en más de 50.000 de ellos con una cuota del 22,5% en volumen. Esa implantación es la que convierte al hostelero en protagonista de la mecánica, y no solo en un punto de venta.</w:t>
      </w:r>
    </w:p>
    <w:p w14:paraId="71DB3C7B" w14:textId="77777777" w:rsidR="00FE107E" w:rsidRPr="00FE107E" w:rsidRDefault="00FE107E" w:rsidP="00FE107E">
      <w:pPr>
        <w:jc w:val="both"/>
      </w:pPr>
      <w:r w:rsidRPr="00FE107E">
        <w:t>El consumidor accede a la web de la campaña, introduce el código único de su tapa y conoce al instante si ha ganado la "Experiencia Monumental" semanal, un premio de 300 euros para visitar el monumento que elija. Lo que distingue a esta dinámica es que, si el usuario gana, el local donde realizó la compra también resulta premiado. Al subir el ticket con el nombre del establecimiento, este queda automáticamente galardonado, incentivando así la recomendación directa por parte del profesional.</w:t>
      </w:r>
    </w:p>
    <w:p w14:paraId="1708C74C" w14:textId="77777777" w:rsidR="00FE107E" w:rsidRPr="00FE107E" w:rsidRDefault="00FE107E" w:rsidP="00FE107E">
      <w:pPr>
        <w:jc w:val="both"/>
        <w:rPr>
          <w:color w:val="C00000"/>
        </w:rPr>
      </w:pPr>
      <w:r w:rsidRPr="00FE107E">
        <w:rPr>
          <w:b/>
          <w:bCs/>
          <w:color w:val="C00000"/>
        </w:rPr>
        <w:t>Patrimonio nacional y compromiso con el sector</w:t>
      </w:r>
    </w:p>
    <w:p w14:paraId="02AC1C2B" w14:textId="68F5DAF0" w:rsidR="00FE107E" w:rsidRPr="00FE107E" w:rsidRDefault="00FE107E" w:rsidP="00FE107E">
      <w:pPr>
        <w:jc w:val="both"/>
      </w:pPr>
      <w:r w:rsidRPr="00FE107E">
        <w:t xml:space="preserve">Los 26 diseños abarcan hitos históricos de todo el territorio nacional, desde la Alhambra o la Sagrada </w:t>
      </w:r>
      <w:r w:rsidR="005141B8" w:rsidRPr="00FE107E">
        <w:t>Familia</w:t>
      </w:r>
      <w:r w:rsidRPr="00FE107E">
        <w:t xml:space="preserve"> hasta el Acueducto de Segovia o la Torre de Hércules, bajo un criterio que combina relevancia turística y representación territorial equilibrada.</w:t>
      </w:r>
    </w:p>
    <w:p w14:paraId="1FC15D3D" w14:textId="77777777" w:rsidR="00FE107E" w:rsidRPr="00FE107E" w:rsidRDefault="00FE107E" w:rsidP="00FE107E">
      <w:pPr>
        <w:jc w:val="both"/>
      </w:pPr>
      <w:r w:rsidRPr="00FE107E">
        <w:rPr>
          <w:i/>
          <w:iCs/>
        </w:rPr>
        <w:t>"Con esta iniciativa queremos ir más allá del acto de consumo. Buscamos que cada botellín sea una invitación a descubrir nuestra riqueza cultural y, al mismo tiempo, reconocer el papel del hostelero como prescriptor esencial"</w:t>
      </w:r>
      <w:r w:rsidRPr="00FE107E">
        <w:t>, explica </w:t>
      </w:r>
      <w:r w:rsidRPr="00FE107E">
        <w:rPr>
          <w:b/>
          <w:bCs/>
        </w:rPr>
        <w:t>Joaquín Jiménez</w:t>
      </w:r>
      <w:r w:rsidRPr="00FE107E">
        <w:t>, Director Comercial y de Marketing de Juver.</w:t>
      </w:r>
    </w:p>
    <w:p w14:paraId="44B2C7CB" w14:textId="2F7F9C51" w:rsidR="00FE107E" w:rsidRPr="00FE107E" w:rsidRDefault="00FE107E" w:rsidP="004F0A75">
      <w:pPr>
        <w:jc w:val="both"/>
      </w:pPr>
      <w:r w:rsidRPr="00FE107E">
        <w:t xml:space="preserve">Este lanzamiento se suma al compromiso de Juver con la hostelería, un sector con el que la firma colabora estrechamente desde hace años. </w:t>
      </w:r>
    </w:p>
    <w:p w14:paraId="7DB20C9A" w14:textId="76099FA4" w:rsidR="001821B6" w:rsidRPr="00A45D2D" w:rsidRDefault="001821B6" w:rsidP="00EA031F">
      <w:pPr>
        <w:jc w:val="both"/>
      </w:pPr>
    </w:p>
    <w:p w14:paraId="4F620898" w14:textId="77777777" w:rsidR="00AC56D8" w:rsidRPr="001C7E3F" w:rsidRDefault="00AC56D8" w:rsidP="00AC56D8">
      <w:pPr>
        <w:rPr>
          <w:rFonts w:ascii="Calibri" w:hAnsi="Calibri" w:cs="Calibri"/>
          <w:sz w:val="22"/>
          <w:szCs w:val="22"/>
        </w:rPr>
      </w:pPr>
      <w:r w:rsidRPr="001C7E3F">
        <w:rPr>
          <w:rFonts w:ascii="Calibri" w:hAnsi="Calibri" w:cs="Calibri"/>
          <w:sz w:val="22"/>
          <w:szCs w:val="22"/>
        </w:rPr>
        <w:t>Para más información:   </w:t>
      </w:r>
    </w:p>
    <w:p w14:paraId="7EF09C50" w14:textId="77777777" w:rsidR="00AC56D8" w:rsidRPr="00171D7E" w:rsidRDefault="00AC56D8" w:rsidP="00AC56D8">
      <w:pPr>
        <w:rPr>
          <w:rFonts w:ascii="Calibri" w:hAnsi="Calibri" w:cs="Calibri"/>
          <w:sz w:val="22"/>
          <w:szCs w:val="22"/>
        </w:rPr>
      </w:pPr>
      <w:r w:rsidRPr="00171D7E">
        <w:rPr>
          <w:rFonts w:ascii="Calibri" w:hAnsi="Calibri" w:cs="Calibri"/>
          <w:b/>
          <w:bCs/>
          <w:sz w:val="22"/>
          <w:szCs w:val="22"/>
        </w:rPr>
        <w:t>ATREVIA</w:t>
      </w:r>
      <w:r w:rsidRPr="00171D7E">
        <w:rPr>
          <w:rFonts w:ascii="Calibri" w:hAnsi="Calibri" w:cs="Calibri"/>
          <w:sz w:val="22"/>
          <w:szCs w:val="22"/>
        </w:rPr>
        <w:t>   </w:t>
      </w:r>
    </w:p>
    <w:p w14:paraId="6FA994E2" w14:textId="77777777" w:rsidR="00AC56D8" w:rsidRPr="00171D7E" w:rsidRDefault="00AC56D8" w:rsidP="00AC56D8">
      <w:pPr>
        <w:rPr>
          <w:rFonts w:ascii="Calibri" w:hAnsi="Calibri" w:cs="Calibri"/>
          <w:sz w:val="22"/>
          <w:szCs w:val="22"/>
        </w:rPr>
      </w:pPr>
      <w:r w:rsidRPr="00171D7E">
        <w:rPr>
          <w:rFonts w:ascii="Calibri" w:hAnsi="Calibri" w:cs="Calibri"/>
          <w:b/>
          <w:bCs/>
          <w:sz w:val="22"/>
          <w:szCs w:val="22"/>
        </w:rPr>
        <w:t>Lidia Bravo   </w:t>
      </w:r>
      <w:r w:rsidRPr="00171D7E">
        <w:rPr>
          <w:rFonts w:ascii="Calibri" w:hAnsi="Calibri" w:cs="Calibri"/>
          <w:sz w:val="22"/>
          <w:szCs w:val="22"/>
        </w:rPr>
        <w:tab/>
      </w:r>
      <w:r w:rsidRPr="00171D7E">
        <w:rPr>
          <w:rFonts w:ascii="Calibri" w:hAnsi="Calibri" w:cs="Calibri"/>
          <w:sz w:val="22"/>
          <w:szCs w:val="22"/>
        </w:rPr>
        <w:tab/>
      </w:r>
      <w:r w:rsidRPr="00171D7E">
        <w:rPr>
          <w:rFonts w:ascii="Calibri" w:hAnsi="Calibri" w:cs="Calibri"/>
          <w:sz w:val="22"/>
          <w:szCs w:val="22"/>
        </w:rPr>
        <w:tab/>
      </w:r>
      <w:r w:rsidRPr="00171D7E">
        <w:rPr>
          <w:rFonts w:ascii="Calibri" w:hAnsi="Calibri" w:cs="Calibri"/>
          <w:sz w:val="22"/>
          <w:szCs w:val="22"/>
        </w:rPr>
        <w:tab/>
      </w:r>
      <w:r w:rsidRPr="00171D7E">
        <w:rPr>
          <w:rFonts w:ascii="Calibri" w:hAnsi="Calibri" w:cs="Calibri"/>
          <w:b/>
          <w:bCs/>
          <w:sz w:val="22"/>
          <w:szCs w:val="22"/>
        </w:rPr>
        <w:t>Natalia González</w:t>
      </w:r>
      <w:r w:rsidRPr="00171D7E">
        <w:rPr>
          <w:rFonts w:ascii="Calibri" w:hAnsi="Calibri" w:cs="Calibri"/>
          <w:sz w:val="22"/>
          <w:szCs w:val="22"/>
        </w:rPr>
        <w:t> </w:t>
      </w:r>
    </w:p>
    <w:p w14:paraId="57C18AA0" w14:textId="77777777" w:rsidR="00AC56D8" w:rsidRPr="00171D7E" w:rsidRDefault="00AC56D8" w:rsidP="00AC56D8">
      <w:pPr>
        <w:rPr>
          <w:rFonts w:ascii="Calibri" w:hAnsi="Calibri" w:cs="Calibri"/>
          <w:sz w:val="22"/>
          <w:szCs w:val="22"/>
        </w:rPr>
      </w:pPr>
      <w:hyperlink r:id="rId10" w:tgtFrame="_blank" w:history="1">
        <w:r w:rsidRPr="00171D7E">
          <w:rPr>
            <w:rStyle w:val="Hipervnculo"/>
            <w:rFonts w:ascii="Calibri" w:hAnsi="Calibri" w:cs="Calibri"/>
            <w:sz w:val="22"/>
            <w:szCs w:val="22"/>
          </w:rPr>
          <w:t>lbravo@atrevia.com</w:t>
        </w:r>
      </w:hyperlink>
      <w:r w:rsidRPr="00171D7E">
        <w:rPr>
          <w:rFonts w:ascii="Calibri" w:hAnsi="Calibri" w:cs="Calibri"/>
          <w:sz w:val="22"/>
          <w:szCs w:val="22"/>
        </w:rPr>
        <w:t>  </w:t>
      </w:r>
      <w:r w:rsidRPr="00171D7E">
        <w:rPr>
          <w:rFonts w:ascii="Calibri" w:hAnsi="Calibri" w:cs="Calibri"/>
          <w:sz w:val="22"/>
          <w:szCs w:val="22"/>
        </w:rPr>
        <w:tab/>
      </w:r>
      <w:r w:rsidRPr="00171D7E">
        <w:rPr>
          <w:rFonts w:ascii="Calibri" w:hAnsi="Calibri" w:cs="Calibri"/>
          <w:sz w:val="22"/>
          <w:szCs w:val="22"/>
        </w:rPr>
        <w:tab/>
      </w:r>
      <w:r w:rsidRPr="00171D7E">
        <w:rPr>
          <w:rFonts w:ascii="Calibri" w:hAnsi="Calibri" w:cs="Calibri"/>
          <w:sz w:val="22"/>
          <w:szCs w:val="22"/>
        </w:rPr>
        <w:tab/>
      </w:r>
      <w:hyperlink r:id="rId11" w:tgtFrame="_blank" w:history="1">
        <w:r w:rsidRPr="00171D7E">
          <w:rPr>
            <w:rStyle w:val="Hipervnculo"/>
            <w:rFonts w:ascii="Calibri" w:hAnsi="Calibri" w:cs="Calibri"/>
            <w:sz w:val="22"/>
            <w:szCs w:val="22"/>
          </w:rPr>
          <w:t>ngonzalez@atrevia.com</w:t>
        </w:r>
      </w:hyperlink>
      <w:r w:rsidRPr="00171D7E">
        <w:rPr>
          <w:rFonts w:ascii="Calibri" w:hAnsi="Calibri" w:cs="Calibri"/>
          <w:sz w:val="22"/>
          <w:szCs w:val="22"/>
        </w:rPr>
        <w:t>   </w:t>
      </w:r>
    </w:p>
    <w:p w14:paraId="36F004F3" w14:textId="77777777" w:rsidR="00AC56D8" w:rsidRPr="001C7E3F" w:rsidRDefault="00AC56D8" w:rsidP="00AC56D8">
      <w:pPr>
        <w:rPr>
          <w:rFonts w:ascii="Calibri" w:hAnsi="Calibri" w:cs="Calibri"/>
          <w:sz w:val="22"/>
          <w:szCs w:val="22"/>
        </w:rPr>
      </w:pPr>
      <w:r w:rsidRPr="001C7E3F">
        <w:rPr>
          <w:rFonts w:ascii="Calibri" w:hAnsi="Calibri" w:cs="Calibri"/>
          <w:sz w:val="22"/>
          <w:szCs w:val="22"/>
          <w:lang w:val="it-IT"/>
        </w:rPr>
        <w:t>673 33 98 46</w:t>
      </w:r>
      <w:r w:rsidRPr="001C7E3F">
        <w:rPr>
          <w:rFonts w:ascii="Calibri" w:hAnsi="Calibri" w:cs="Calibri"/>
          <w:sz w:val="22"/>
          <w:szCs w:val="22"/>
        </w:rPr>
        <w:t>  </w:t>
      </w:r>
      <w:r w:rsidRPr="001C7E3F">
        <w:rPr>
          <w:rFonts w:ascii="Calibri" w:hAnsi="Calibri" w:cs="Calibri"/>
          <w:sz w:val="22"/>
          <w:szCs w:val="22"/>
        </w:rPr>
        <w:tab/>
      </w:r>
      <w:r w:rsidRPr="001C7E3F">
        <w:rPr>
          <w:rFonts w:ascii="Calibri" w:hAnsi="Calibri" w:cs="Calibri"/>
          <w:sz w:val="22"/>
          <w:szCs w:val="22"/>
        </w:rPr>
        <w:tab/>
      </w:r>
      <w:r w:rsidRPr="001C7E3F">
        <w:rPr>
          <w:rFonts w:ascii="Calibri" w:hAnsi="Calibri" w:cs="Calibri"/>
          <w:sz w:val="22"/>
          <w:szCs w:val="22"/>
        </w:rPr>
        <w:tab/>
      </w:r>
      <w:r w:rsidRPr="001C7E3F">
        <w:rPr>
          <w:rFonts w:ascii="Calibri" w:hAnsi="Calibri" w:cs="Calibri"/>
          <w:sz w:val="22"/>
          <w:szCs w:val="22"/>
        </w:rPr>
        <w:tab/>
        <w:t>673 33 98 40   </w:t>
      </w:r>
    </w:p>
    <w:p w14:paraId="6208D04E" w14:textId="77777777" w:rsidR="00413037" w:rsidRDefault="00413037"/>
    <w:sectPr w:rsidR="00413037">
      <w:head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B803F" w14:textId="77777777" w:rsidR="00473C28" w:rsidRDefault="00473C28" w:rsidP="009D3EF0">
      <w:pPr>
        <w:spacing w:after="0" w:line="240" w:lineRule="auto"/>
      </w:pPr>
      <w:r>
        <w:separator/>
      </w:r>
    </w:p>
  </w:endnote>
  <w:endnote w:type="continuationSeparator" w:id="0">
    <w:p w14:paraId="49801218" w14:textId="77777777" w:rsidR="00473C28" w:rsidRDefault="00473C28" w:rsidP="009D3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239A5" w14:textId="77777777" w:rsidR="00473C28" w:rsidRDefault="00473C28" w:rsidP="009D3EF0">
      <w:pPr>
        <w:spacing w:after="0" w:line="240" w:lineRule="auto"/>
      </w:pPr>
      <w:r>
        <w:separator/>
      </w:r>
    </w:p>
  </w:footnote>
  <w:footnote w:type="continuationSeparator" w:id="0">
    <w:p w14:paraId="3472B407" w14:textId="77777777" w:rsidR="00473C28" w:rsidRDefault="00473C28" w:rsidP="009D3E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EA98E" w14:textId="6B8716F2" w:rsidR="009D3EF0" w:rsidRDefault="009D3EF0">
    <w:pPr>
      <w:pStyle w:val="Encabezado"/>
    </w:pPr>
    <w:r>
      <w:rPr>
        <w:noProof/>
      </w:rPr>
      <w:drawing>
        <wp:anchor distT="0" distB="0" distL="114300" distR="114300" simplePos="0" relativeHeight="251658240" behindDoc="1" locked="0" layoutInCell="1" allowOverlap="1" wp14:anchorId="38883288" wp14:editId="2785A665">
          <wp:simplePos x="0" y="0"/>
          <wp:positionH relativeFrom="margin">
            <wp:align>center</wp:align>
          </wp:positionH>
          <wp:positionV relativeFrom="paragraph">
            <wp:posOffset>-213897</wp:posOffset>
          </wp:positionV>
          <wp:extent cx="869132" cy="524759"/>
          <wp:effectExtent l="0" t="0" r="7620" b="8890"/>
          <wp:wrapNone/>
          <wp:docPr id="144646303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463034" name="Imagen 1446463034"/>
                  <pic:cNvPicPr/>
                </pic:nvPicPr>
                <pic:blipFill>
                  <a:blip r:embed="rId1">
                    <a:extLst>
                      <a:ext uri="{28A0092B-C50C-407E-A947-70E740481C1C}">
                        <a14:useLocalDpi xmlns:a14="http://schemas.microsoft.com/office/drawing/2010/main" val="0"/>
                      </a:ext>
                    </a:extLst>
                  </a:blip>
                  <a:stretch>
                    <a:fillRect/>
                  </a:stretch>
                </pic:blipFill>
                <pic:spPr>
                  <a:xfrm>
                    <a:off x="0" y="0"/>
                    <a:ext cx="869132" cy="52475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C7352E"/>
    <w:multiLevelType w:val="hybridMultilevel"/>
    <w:tmpl w:val="D9F40D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7582234"/>
    <w:multiLevelType w:val="multilevel"/>
    <w:tmpl w:val="DAC8C330"/>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2" w15:restartNumberingAfterBreak="0">
    <w:nsid w:val="59E74A01"/>
    <w:multiLevelType w:val="multilevel"/>
    <w:tmpl w:val="BAFC0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F03F68"/>
    <w:multiLevelType w:val="multilevel"/>
    <w:tmpl w:val="82125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2099958">
    <w:abstractNumId w:val="0"/>
  </w:num>
  <w:num w:numId="2" w16cid:durableId="1614098298">
    <w:abstractNumId w:val="1"/>
  </w:num>
  <w:num w:numId="3" w16cid:durableId="1731610192">
    <w:abstractNumId w:val="3"/>
  </w:num>
  <w:num w:numId="4" w16cid:durableId="15242459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D2D"/>
    <w:rsid w:val="00014150"/>
    <w:rsid w:val="000B6593"/>
    <w:rsid w:val="000C298D"/>
    <w:rsid w:val="000D7D25"/>
    <w:rsid w:val="00122A19"/>
    <w:rsid w:val="00145471"/>
    <w:rsid w:val="0015625A"/>
    <w:rsid w:val="001821B6"/>
    <w:rsid w:val="00241923"/>
    <w:rsid w:val="0026170D"/>
    <w:rsid w:val="00351F65"/>
    <w:rsid w:val="003C037D"/>
    <w:rsid w:val="00413037"/>
    <w:rsid w:val="00441E32"/>
    <w:rsid w:val="00473C28"/>
    <w:rsid w:val="00486930"/>
    <w:rsid w:val="004A4A46"/>
    <w:rsid w:val="004E45B6"/>
    <w:rsid w:val="004F0A75"/>
    <w:rsid w:val="005141B8"/>
    <w:rsid w:val="00551947"/>
    <w:rsid w:val="005807AF"/>
    <w:rsid w:val="005A0B58"/>
    <w:rsid w:val="005C14BD"/>
    <w:rsid w:val="005C3CC8"/>
    <w:rsid w:val="005C63DB"/>
    <w:rsid w:val="00694C76"/>
    <w:rsid w:val="007578CF"/>
    <w:rsid w:val="00783EF2"/>
    <w:rsid w:val="007E0E45"/>
    <w:rsid w:val="008001FC"/>
    <w:rsid w:val="00816CCF"/>
    <w:rsid w:val="00850B0B"/>
    <w:rsid w:val="008E71B3"/>
    <w:rsid w:val="00936CBA"/>
    <w:rsid w:val="0093759F"/>
    <w:rsid w:val="009D3EF0"/>
    <w:rsid w:val="00A42611"/>
    <w:rsid w:val="00A45D2D"/>
    <w:rsid w:val="00A61F64"/>
    <w:rsid w:val="00A66B16"/>
    <w:rsid w:val="00AB0583"/>
    <w:rsid w:val="00AC56D8"/>
    <w:rsid w:val="00B61DE6"/>
    <w:rsid w:val="00C57CA6"/>
    <w:rsid w:val="00CF2270"/>
    <w:rsid w:val="00D0740B"/>
    <w:rsid w:val="00DC35A3"/>
    <w:rsid w:val="00DF1E81"/>
    <w:rsid w:val="00DF4F83"/>
    <w:rsid w:val="00E120F9"/>
    <w:rsid w:val="00E50AB1"/>
    <w:rsid w:val="00E6036B"/>
    <w:rsid w:val="00EA031F"/>
    <w:rsid w:val="00EE1C78"/>
    <w:rsid w:val="00F15B79"/>
    <w:rsid w:val="00F52296"/>
    <w:rsid w:val="00F76AB7"/>
    <w:rsid w:val="00F9268C"/>
    <w:rsid w:val="00FA5A76"/>
    <w:rsid w:val="00FA75A8"/>
    <w:rsid w:val="00FA7F16"/>
    <w:rsid w:val="00FB20DC"/>
    <w:rsid w:val="00FB52BF"/>
    <w:rsid w:val="00FE107E"/>
    <w:rsid w:val="00FE3894"/>
    <w:rsid w:val="00FF1FC7"/>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76B2A5"/>
  <w15:chartTrackingRefBased/>
  <w15:docId w15:val="{CA9A8E4B-F360-4237-A349-356838546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45D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45D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45D2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45D2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45D2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45D2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45D2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45D2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45D2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45D2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45D2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45D2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45D2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45D2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45D2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45D2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45D2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45D2D"/>
    <w:rPr>
      <w:rFonts w:eastAsiaTheme="majorEastAsia" w:cstheme="majorBidi"/>
      <w:color w:val="272727" w:themeColor="text1" w:themeTint="D8"/>
    </w:rPr>
  </w:style>
  <w:style w:type="paragraph" w:styleId="Ttulo">
    <w:name w:val="Title"/>
    <w:basedOn w:val="Normal"/>
    <w:next w:val="Normal"/>
    <w:link w:val="TtuloCar"/>
    <w:uiPriority w:val="10"/>
    <w:qFormat/>
    <w:rsid w:val="00A45D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45D2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45D2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45D2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45D2D"/>
    <w:pPr>
      <w:spacing w:before="160"/>
      <w:jc w:val="center"/>
    </w:pPr>
    <w:rPr>
      <w:i/>
      <w:iCs/>
      <w:color w:val="404040" w:themeColor="text1" w:themeTint="BF"/>
    </w:rPr>
  </w:style>
  <w:style w:type="character" w:customStyle="1" w:styleId="CitaCar">
    <w:name w:val="Cita Car"/>
    <w:basedOn w:val="Fuentedeprrafopredeter"/>
    <w:link w:val="Cita"/>
    <w:uiPriority w:val="29"/>
    <w:rsid w:val="00A45D2D"/>
    <w:rPr>
      <w:i/>
      <w:iCs/>
      <w:color w:val="404040" w:themeColor="text1" w:themeTint="BF"/>
    </w:rPr>
  </w:style>
  <w:style w:type="paragraph" w:styleId="Prrafodelista">
    <w:name w:val="List Paragraph"/>
    <w:basedOn w:val="Normal"/>
    <w:uiPriority w:val="34"/>
    <w:qFormat/>
    <w:rsid w:val="00A45D2D"/>
    <w:pPr>
      <w:ind w:left="720"/>
      <w:contextualSpacing/>
    </w:pPr>
  </w:style>
  <w:style w:type="character" w:styleId="nfasisintenso">
    <w:name w:val="Intense Emphasis"/>
    <w:basedOn w:val="Fuentedeprrafopredeter"/>
    <w:uiPriority w:val="21"/>
    <w:qFormat/>
    <w:rsid w:val="00A45D2D"/>
    <w:rPr>
      <w:i/>
      <w:iCs/>
      <w:color w:val="0F4761" w:themeColor="accent1" w:themeShade="BF"/>
    </w:rPr>
  </w:style>
  <w:style w:type="paragraph" w:styleId="Citadestacada">
    <w:name w:val="Intense Quote"/>
    <w:basedOn w:val="Normal"/>
    <w:next w:val="Normal"/>
    <w:link w:val="CitadestacadaCar"/>
    <w:uiPriority w:val="30"/>
    <w:qFormat/>
    <w:rsid w:val="00A45D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45D2D"/>
    <w:rPr>
      <w:i/>
      <w:iCs/>
      <w:color w:val="0F4761" w:themeColor="accent1" w:themeShade="BF"/>
    </w:rPr>
  </w:style>
  <w:style w:type="character" w:styleId="Referenciaintensa">
    <w:name w:val="Intense Reference"/>
    <w:basedOn w:val="Fuentedeprrafopredeter"/>
    <w:uiPriority w:val="32"/>
    <w:qFormat/>
    <w:rsid w:val="00A45D2D"/>
    <w:rPr>
      <w:b/>
      <w:bCs/>
      <w:smallCaps/>
      <w:color w:val="0F4761" w:themeColor="accent1" w:themeShade="BF"/>
      <w:spacing w:val="5"/>
    </w:rPr>
  </w:style>
  <w:style w:type="character" w:styleId="Refdecomentario">
    <w:name w:val="annotation reference"/>
    <w:basedOn w:val="Fuentedeprrafopredeter"/>
    <w:uiPriority w:val="99"/>
    <w:semiHidden/>
    <w:unhideWhenUsed/>
    <w:rsid w:val="00B61DE6"/>
    <w:rPr>
      <w:sz w:val="16"/>
      <w:szCs w:val="16"/>
    </w:rPr>
  </w:style>
  <w:style w:type="paragraph" w:styleId="Textocomentario">
    <w:name w:val="annotation text"/>
    <w:basedOn w:val="Normal"/>
    <w:link w:val="TextocomentarioCar"/>
    <w:uiPriority w:val="99"/>
    <w:unhideWhenUsed/>
    <w:rsid w:val="00B61DE6"/>
    <w:pPr>
      <w:spacing w:line="240" w:lineRule="auto"/>
    </w:pPr>
    <w:rPr>
      <w:sz w:val="20"/>
      <w:szCs w:val="20"/>
    </w:rPr>
  </w:style>
  <w:style w:type="character" w:customStyle="1" w:styleId="TextocomentarioCar">
    <w:name w:val="Texto comentario Car"/>
    <w:basedOn w:val="Fuentedeprrafopredeter"/>
    <w:link w:val="Textocomentario"/>
    <w:uiPriority w:val="99"/>
    <w:rsid w:val="00B61DE6"/>
    <w:rPr>
      <w:sz w:val="20"/>
      <w:szCs w:val="20"/>
    </w:rPr>
  </w:style>
  <w:style w:type="paragraph" w:styleId="Asuntodelcomentario">
    <w:name w:val="annotation subject"/>
    <w:basedOn w:val="Textocomentario"/>
    <w:next w:val="Textocomentario"/>
    <w:link w:val="AsuntodelcomentarioCar"/>
    <w:uiPriority w:val="99"/>
    <w:semiHidden/>
    <w:unhideWhenUsed/>
    <w:rsid w:val="00B61DE6"/>
    <w:rPr>
      <w:b/>
      <w:bCs/>
    </w:rPr>
  </w:style>
  <w:style w:type="character" w:customStyle="1" w:styleId="AsuntodelcomentarioCar">
    <w:name w:val="Asunto del comentario Car"/>
    <w:basedOn w:val="TextocomentarioCar"/>
    <w:link w:val="Asuntodelcomentario"/>
    <w:uiPriority w:val="99"/>
    <w:semiHidden/>
    <w:rsid w:val="00B61DE6"/>
    <w:rPr>
      <w:b/>
      <w:bCs/>
      <w:sz w:val="20"/>
      <w:szCs w:val="20"/>
    </w:rPr>
  </w:style>
  <w:style w:type="character" w:styleId="Hipervnculo">
    <w:name w:val="Hyperlink"/>
    <w:basedOn w:val="Fuentedeprrafopredeter"/>
    <w:uiPriority w:val="99"/>
    <w:unhideWhenUsed/>
    <w:rsid w:val="00AC56D8"/>
    <w:rPr>
      <w:color w:val="467886" w:themeColor="hyperlink"/>
      <w:u w:val="single"/>
    </w:rPr>
  </w:style>
  <w:style w:type="paragraph" w:customStyle="1" w:styleId="pf0">
    <w:name w:val="pf0"/>
    <w:basedOn w:val="Normal"/>
    <w:rsid w:val="00241923"/>
    <w:pPr>
      <w:spacing w:before="100" w:beforeAutospacing="1" w:after="100" w:afterAutospacing="1" w:line="240" w:lineRule="auto"/>
    </w:pPr>
    <w:rPr>
      <w:rFonts w:ascii="Times New Roman" w:eastAsia="Times New Roman" w:hAnsi="Times New Roman" w:cs="Times New Roman"/>
      <w:kern w:val="0"/>
      <w:lang w:eastAsia="es-ES"/>
      <w14:ligatures w14:val="none"/>
    </w:rPr>
  </w:style>
  <w:style w:type="character" w:customStyle="1" w:styleId="cf01">
    <w:name w:val="cf01"/>
    <w:basedOn w:val="Fuentedeprrafopredeter"/>
    <w:rsid w:val="00241923"/>
    <w:rPr>
      <w:rFonts w:ascii="Segoe UI" w:hAnsi="Segoe UI" w:cs="Segoe UI" w:hint="default"/>
      <w:sz w:val="18"/>
      <w:szCs w:val="18"/>
    </w:rPr>
  </w:style>
  <w:style w:type="character" w:customStyle="1" w:styleId="cf11">
    <w:name w:val="cf11"/>
    <w:basedOn w:val="Fuentedeprrafopredeter"/>
    <w:rsid w:val="00241923"/>
    <w:rPr>
      <w:rFonts w:ascii="Segoe UI" w:hAnsi="Segoe UI" w:cs="Segoe UI" w:hint="default"/>
      <w:b/>
      <w:bCs/>
      <w:color w:val="0A0A0A"/>
      <w:sz w:val="18"/>
      <w:szCs w:val="18"/>
      <w:shd w:val="clear" w:color="auto" w:fill="FFFFFF"/>
    </w:rPr>
  </w:style>
  <w:style w:type="paragraph" w:styleId="Encabezado">
    <w:name w:val="header"/>
    <w:basedOn w:val="Normal"/>
    <w:link w:val="EncabezadoCar"/>
    <w:uiPriority w:val="99"/>
    <w:unhideWhenUsed/>
    <w:rsid w:val="009D3EF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D3EF0"/>
  </w:style>
  <w:style w:type="paragraph" w:styleId="Piedepgina">
    <w:name w:val="footer"/>
    <w:basedOn w:val="Normal"/>
    <w:link w:val="PiedepginaCar"/>
    <w:uiPriority w:val="99"/>
    <w:unhideWhenUsed/>
    <w:rsid w:val="009D3EF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D3E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gonzalez@atrevia.com" TargetMode="External"/><Relationship Id="rId5" Type="http://schemas.openxmlformats.org/officeDocument/2006/relationships/styles" Target="styles.xml"/><Relationship Id="rId10" Type="http://schemas.openxmlformats.org/officeDocument/2006/relationships/hyperlink" Target="mailto:lbravo@atrevia.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718C7658121C44E9CB1F9A6FFC3E10A" ma:contentTypeVersion="15" ma:contentTypeDescription="Crear nuevo documento." ma:contentTypeScope="" ma:versionID="ce5a119eff8fde6e03a4db4880bf7e0a">
  <xsd:schema xmlns:xsd="http://www.w3.org/2001/XMLSchema" xmlns:xs="http://www.w3.org/2001/XMLSchema" xmlns:p="http://schemas.microsoft.com/office/2006/metadata/properties" xmlns:ns2="03d0de6a-1365-4b12-aa96-d13adab2f979" xmlns:ns3="cfaf7a7c-573f-4f8d-a03a-88aa06b7e975" targetNamespace="http://schemas.microsoft.com/office/2006/metadata/properties" ma:root="true" ma:fieldsID="e06f5bdd7a607e3a96f72b51165ea0ab" ns2:_="" ns3:_="">
    <xsd:import namespace="03d0de6a-1365-4b12-aa96-d13adab2f979"/>
    <xsd:import namespace="cfaf7a7c-573f-4f8d-a03a-88aa06b7e97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lcf76f155ced4ddcb4097134ff3c332f"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d0de6a-1365-4b12-aa96-d13adab2f979"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af7a7c-573f-4f8d-a03a-88aa06b7e97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bdbc3af8-5ebe-441a-975b-c2d3e4921b0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af7a7c-573f-4f8d-a03a-88aa06b7e9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96B0435-2175-4F8F-BBB2-8AB4C9581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d0de6a-1365-4b12-aa96-d13adab2f979"/>
    <ds:schemaRef ds:uri="cfaf7a7c-573f-4f8d-a03a-88aa06b7e9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7C3AE7-2758-4DB7-8B8E-895F3DA30369}">
  <ds:schemaRefs>
    <ds:schemaRef ds:uri="http://schemas.microsoft.com/sharepoint/v3/contenttype/forms"/>
  </ds:schemaRefs>
</ds:datastoreItem>
</file>

<file path=customXml/itemProps3.xml><?xml version="1.0" encoding="utf-8"?>
<ds:datastoreItem xmlns:ds="http://schemas.openxmlformats.org/officeDocument/2006/customXml" ds:itemID="{B6E06C9E-3264-4F3C-BE9A-504D6260F51C}">
  <ds:schemaRefs>
    <ds:schemaRef ds:uri="http://schemas.microsoft.com/office/2006/metadata/properties"/>
    <ds:schemaRef ds:uri="http://schemas.microsoft.com/office/infopath/2007/PartnerControls"/>
    <ds:schemaRef ds:uri="cfaf7a7c-573f-4f8d-a03a-88aa06b7e97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427</Words>
  <Characters>2351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González Luque</dc:creator>
  <cp:keywords/>
  <dc:description/>
  <cp:lastModifiedBy>Natalia González Luque</cp:lastModifiedBy>
  <cp:revision>4</cp:revision>
  <dcterms:created xsi:type="dcterms:W3CDTF">2026-03-23T09:25:00Z</dcterms:created>
  <dcterms:modified xsi:type="dcterms:W3CDTF">2026-03-26T08:38:00Z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0x0101001718C7658121C44E9CB1F9A6FFC3E10A</vt:lpwstr>
  </property>
  <property fmtid="{D5CDD505-2E9C-101B-9397-08002B2CF9AE}" pid="3" name="MediaServiceImageTags">
    <vt:lpwstr/>
  </property>
</Properties>
</file>