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2A62" w14:textId="2209823D" w:rsidR="00E06C80" w:rsidRDefault="00E73B43" w:rsidP="00A4189F">
      <w:pPr>
        <w:spacing w:after="0" w:line="240" w:lineRule="auto"/>
        <w:jc w:val="center"/>
        <w:rPr>
          <w:rFonts w:ascii="Rubik" w:eastAsia="Aptos" w:hAnsi="Rubik" w:cs="Rubik"/>
          <w:b/>
          <w:bCs/>
          <w:kern w:val="2"/>
          <w:sz w:val="36"/>
          <w:szCs w:val="36"/>
          <w14:ligatures w14:val="standardContextual"/>
        </w:rPr>
      </w:pPr>
      <w:r w:rsidRPr="007339C3">
        <w:rPr>
          <w:rFonts w:ascii="Rubik" w:eastAsia="Aptos" w:hAnsi="Rubik" w:cs="Rubik"/>
          <w:b/>
          <w:bCs/>
          <w:kern w:val="2"/>
          <w:sz w:val="36"/>
          <w:szCs w:val="36"/>
          <w14:ligatures w14:val="standardContextual"/>
        </w:rPr>
        <w:t>Lactalis Foodservice</w:t>
      </w:r>
      <w:r w:rsidR="0031401B" w:rsidRPr="007339C3">
        <w:rPr>
          <w:rFonts w:ascii="Rubik" w:eastAsia="Aptos" w:hAnsi="Rubik" w:cs="Rubik"/>
          <w:b/>
          <w:bCs/>
          <w:kern w:val="2"/>
          <w:sz w:val="36"/>
          <w:szCs w:val="36"/>
          <w14:ligatures w14:val="standardContextual"/>
        </w:rPr>
        <w:t xml:space="preserve"> </w:t>
      </w:r>
      <w:r w:rsidR="0031401B" w:rsidRPr="0031401B">
        <w:rPr>
          <w:rFonts w:ascii="Rubik" w:eastAsia="Aptos" w:hAnsi="Rubik" w:cs="Rubik"/>
          <w:b/>
          <w:bCs/>
          <w:kern w:val="2"/>
          <w:sz w:val="36"/>
          <w:szCs w:val="36"/>
          <w14:ligatures w14:val="standardContextual"/>
        </w:rPr>
        <w:t xml:space="preserve">y la </w:t>
      </w:r>
      <w:r w:rsidR="007339C3">
        <w:rPr>
          <w:rFonts w:ascii="Rubik" w:eastAsia="Aptos" w:hAnsi="Rubik" w:cs="Rubik"/>
          <w:b/>
          <w:bCs/>
          <w:kern w:val="2"/>
          <w:sz w:val="36"/>
          <w:szCs w:val="36"/>
          <w14:ligatures w14:val="standardContextual"/>
        </w:rPr>
        <w:t>Asociación</w:t>
      </w:r>
      <w:r w:rsidR="0031401B" w:rsidRPr="0031401B">
        <w:rPr>
          <w:rFonts w:ascii="Rubik" w:eastAsia="Aptos" w:hAnsi="Rubik" w:cs="Rubik"/>
          <w:b/>
          <w:bCs/>
          <w:kern w:val="2"/>
          <w:sz w:val="36"/>
          <w:szCs w:val="36"/>
          <w14:ligatures w14:val="standardContextual"/>
        </w:rPr>
        <w:t xml:space="preserve"> Italiana </w:t>
      </w:r>
    </w:p>
    <w:p w14:paraId="39448580" w14:textId="2893E5A8" w:rsidR="00A4189F" w:rsidRPr="00A4189F" w:rsidRDefault="0031401B" w:rsidP="00A4189F">
      <w:pPr>
        <w:spacing w:after="0" w:line="240" w:lineRule="auto"/>
        <w:jc w:val="center"/>
        <w:rPr>
          <w:rFonts w:ascii="Rubik" w:eastAsia="Aptos" w:hAnsi="Rubik" w:cs="Rubik"/>
          <w:b/>
          <w:bCs/>
          <w:kern w:val="2"/>
          <w:sz w:val="36"/>
          <w:szCs w:val="36"/>
          <w14:ligatures w14:val="standardContextual"/>
        </w:rPr>
      </w:pPr>
      <w:r w:rsidRPr="0031401B">
        <w:rPr>
          <w:rFonts w:ascii="Rubik" w:eastAsia="Aptos" w:hAnsi="Rubik" w:cs="Rubik"/>
          <w:b/>
          <w:bCs/>
          <w:kern w:val="2"/>
          <w:sz w:val="36"/>
          <w:szCs w:val="36"/>
          <w14:ligatures w14:val="standardContextual"/>
        </w:rPr>
        <w:t>de Cocineros</w:t>
      </w:r>
      <w:r w:rsidR="00E73B43">
        <w:rPr>
          <w:rFonts w:ascii="Rubik" w:eastAsia="Aptos" w:hAnsi="Rubik" w:cs="Rubik"/>
          <w:b/>
          <w:bCs/>
          <w:kern w:val="2"/>
          <w:sz w:val="36"/>
          <w:szCs w:val="36"/>
          <w14:ligatures w14:val="standardContextual"/>
        </w:rPr>
        <w:t xml:space="preserve"> </w:t>
      </w:r>
      <w:r w:rsidRPr="0031401B">
        <w:rPr>
          <w:rFonts w:ascii="Rubik" w:eastAsia="Aptos" w:hAnsi="Rubik" w:cs="Rubik"/>
          <w:b/>
          <w:bCs/>
          <w:kern w:val="2"/>
          <w:sz w:val="36"/>
          <w:szCs w:val="36"/>
          <w14:ligatures w14:val="standardContextual"/>
        </w:rPr>
        <w:t xml:space="preserve">se </w:t>
      </w:r>
      <w:r w:rsidR="0074691E">
        <w:rPr>
          <w:rFonts w:ascii="Rubik" w:eastAsia="Aptos" w:hAnsi="Rubik" w:cs="Rubik"/>
          <w:b/>
          <w:bCs/>
          <w:kern w:val="2"/>
          <w:sz w:val="36"/>
          <w:szCs w:val="36"/>
          <w14:ligatures w14:val="standardContextual"/>
        </w:rPr>
        <w:t>unen</w:t>
      </w:r>
      <w:r w:rsidRPr="0031401B">
        <w:rPr>
          <w:rFonts w:ascii="Rubik" w:eastAsia="Aptos" w:hAnsi="Rubik" w:cs="Rubik"/>
          <w:b/>
          <w:bCs/>
          <w:kern w:val="2"/>
          <w:sz w:val="36"/>
          <w:szCs w:val="36"/>
          <w14:ligatures w14:val="standardContextual"/>
        </w:rPr>
        <w:t xml:space="preserve"> para impulsar la excelencia de la cocina italiana en el </w:t>
      </w:r>
      <w:r w:rsidR="0074691E">
        <w:rPr>
          <w:rFonts w:ascii="Rubik" w:eastAsia="Aptos" w:hAnsi="Rubik" w:cs="Rubik"/>
          <w:b/>
          <w:bCs/>
          <w:kern w:val="2"/>
          <w:sz w:val="36"/>
          <w:szCs w:val="36"/>
          <w14:ligatures w14:val="standardContextual"/>
        </w:rPr>
        <w:t xml:space="preserve">canal </w:t>
      </w:r>
      <w:r w:rsidR="00A34C38">
        <w:rPr>
          <w:rFonts w:ascii="Rubik" w:eastAsia="Aptos" w:hAnsi="Rubik" w:cs="Rubik"/>
          <w:b/>
          <w:bCs/>
          <w:kern w:val="2"/>
          <w:sz w:val="36"/>
          <w:szCs w:val="36"/>
          <w14:ligatures w14:val="standardContextual"/>
        </w:rPr>
        <w:t>HORECA</w:t>
      </w:r>
      <w:r w:rsidR="0074691E">
        <w:rPr>
          <w:rFonts w:ascii="Rubik" w:eastAsia="Aptos" w:hAnsi="Rubik" w:cs="Rubik"/>
          <w:b/>
          <w:bCs/>
          <w:kern w:val="2"/>
          <w:sz w:val="36"/>
          <w:szCs w:val="36"/>
          <w14:ligatures w14:val="standardContextual"/>
        </w:rPr>
        <w:t xml:space="preserve"> español</w:t>
      </w:r>
    </w:p>
    <w:p w14:paraId="682CE89B" w14:textId="77777777" w:rsidR="00A4189F" w:rsidRDefault="00A4189F" w:rsidP="00A4189F">
      <w:pPr>
        <w:spacing w:after="0"/>
        <w:jc w:val="center"/>
        <w:rPr>
          <w:rFonts w:ascii="Rubik" w:hAnsi="Rubik" w:cs="Rubik"/>
          <w:i/>
          <w:iCs/>
        </w:rPr>
      </w:pPr>
    </w:p>
    <w:p w14:paraId="1FB899F5" w14:textId="29FE65E6" w:rsidR="006D2BF2" w:rsidRDefault="006D2BF2" w:rsidP="006D2BF2">
      <w:pPr>
        <w:spacing w:after="0"/>
        <w:jc w:val="center"/>
        <w:rPr>
          <w:rFonts w:ascii="Rubik" w:hAnsi="Rubik" w:cs="Rubik"/>
          <w:i/>
          <w:iCs/>
        </w:rPr>
      </w:pPr>
      <w:r w:rsidRPr="006D2BF2">
        <w:rPr>
          <w:rFonts w:ascii="Rubik" w:hAnsi="Rubik" w:cs="Rubik"/>
          <w:i/>
          <w:iCs/>
        </w:rPr>
        <w:t xml:space="preserve">Una colaboración </w:t>
      </w:r>
      <w:r w:rsidRPr="007339C3">
        <w:rPr>
          <w:rFonts w:ascii="Rubik" w:hAnsi="Rubik" w:cs="Rubik"/>
          <w:i/>
          <w:iCs/>
        </w:rPr>
        <w:t>estratégica</w:t>
      </w:r>
      <w:r w:rsidR="00E06C80" w:rsidRPr="007339C3">
        <w:rPr>
          <w:rFonts w:ascii="Rubik" w:hAnsi="Rubik" w:cs="Rubik"/>
          <w:i/>
          <w:iCs/>
        </w:rPr>
        <w:t xml:space="preserve"> con Galbani Professionale</w:t>
      </w:r>
      <w:r w:rsidRPr="007339C3">
        <w:rPr>
          <w:rFonts w:ascii="Rubik" w:hAnsi="Rubik" w:cs="Rubik"/>
          <w:i/>
          <w:iCs/>
        </w:rPr>
        <w:t xml:space="preserve"> </w:t>
      </w:r>
      <w:r w:rsidRPr="006D2BF2">
        <w:rPr>
          <w:rFonts w:ascii="Rubik" w:hAnsi="Rubik" w:cs="Rubik"/>
          <w:i/>
          <w:iCs/>
        </w:rPr>
        <w:t>orientada a reforzar la formación, la autenticidad</w:t>
      </w:r>
      <w:r w:rsidR="00A84F3F">
        <w:rPr>
          <w:rFonts w:ascii="Rubik" w:hAnsi="Rubik" w:cs="Rubik"/>
          <w:i/>
          <w:iCs/>
        </w:rPr>
        <w:t xml:space="preserve"> </w:t>
      </w:r>
      <w:r w:rsidRPr="006D2BF2">
        <w:rPr>
          <w:rFonts w:ascii="Rubik" w:hAnsi="Rubik" w:cs="Rubik"/>
          <w:i/>
          <w:iCs/>
        </w:rPr>
        <w:t xml:space="preserve">y la profesionalización de la cocina italiana en el canal </w:t>
      </w:r>
      <w:r w:rsidR="00A34C38">
        <w:rPr>
          <w:rFonts w:ascii="Rubik" w:hAnsi="Rubik" w:cs="Rubik"/>
          <w:i/>
          <w:iCs/>
        </w:rPr>
        <w:t>HORECA</w:t>
      </w:r>
      <w:r w:rsidRPr="006D2BF2">
        <w:rPr>
          <w:rFonts w:ascii="Rubik" w:hAnsi="Rubik" w:cs="Rubik"/>
          <w:i/>
          <w:iCs/>
        </w:rPr>
        <w:t>,</w:t>
      </w:r>
      <w:r w:rsidR="008A3DB6">
        <w:rPr>
          <w:rFonts w:ascii="Rubik" w:hAnsi="Rubik" w:cs="Rubik"/>
          <w:i/>
          <w:iCs/>
        </w:rPr>
        <w:t xml:space="preserve"> </w:t>
      </w:r>
      <w:r w:rsidRPr="006D2BF2">
        <w:rPr>
          <w:rFonts w:ascii="Rubik" w:hAnsi="Rubik" w:cs="Rubik"/>
          <w:i/>
          <w:iCs/>
        </w:rPr>
        <w:t>conectando producto, conocimiento y comunidad gastronómica</w:t>
      </w:r>
    </w:p>
    <w:p w14:paraId="48BCD042" w14:textId="77777777" w:rsidR="006D2BF2" w:rsidRDefault="006D2BF2" w:rsidP="006D2BF2">
      <w:pPr>
        <w:spacing w:after="0"/>
        <w:jc w:val="center"/>
        <w:rPr>
          <w:rFonts w:ascii="Rubik" w:hAnsi="Rubik" w:cs="Rubik"/>
          <w:i/>
          <w:iCs/>
        </w:rPr>
      </w:pPr>
    </w:p>
    <w:p w14:paraId="7B46DA2D" w14:textId="3E30E95E" w:rsidR="00A4189F" w:rsidRDefault="005A5175" w:rsidP="005A5175">
      <w:pPr>
        <w:spacing w:after="0" w:line="240" w:lineRule="auto"/>
        <w:jc w:val="center"/>
        <w:rPr>
          <w:rFonts w:ascii="Rubik" w:hAnsi="Rubik" w:cs="Rubik"/>
          <w:i/>
          <w:iCs/>
        </w:rPr>
      </w:pPr>
      <w:r w:rsidRPr="005A5175">
        <w:rPr>
          <w:rFonts w:ascii="Rubik" w:hAnsi="Rubik" w:cs="Rubik"/>
          <w:i/>
          <w:iCs/>
        </w:rPr>
        <w:t>Galbani Professionale</w:t>
      </w:r>
      <w:r>
        <w:rPr>
          <w:rFonts w:ascii="Rubik" w:hAnsi="Rubik" w:cs="Rubik"/>
          <w:i/>
          <w:iCs/>
        </w:rPr>
        <w:t>, con más de 140 años de historia y número 1 en Italia,</w:t>
      </w:r>
      <w:r w:rsidRPr="005A5175">
        <w:rPr>
          <w:rFonts w:ascii="Rubik" w:hAnsi="Rubik" w:cs="Rubik"/>
          <w:i/>
          <w:iCs/>
        </w:rPr>
        <w:t xml:space="preserve"> se posiciona como partner de referencia para el </w:t>
      </w:r>
      <w:r>
        <w:rPr>
          <w:rFonts w:ascii="Rubik" w:hAnsi="Rubik" w:cs="Rubik"/>
          <w:i/>
          <w:iCs/>
        </w:rPr>
        <w:t>canal</w:t>
      </w:r>
      <w:r w:rsidRPr="005A5175">
        <w:rPr>
          <w:rFonts w:ascii="Rubik" w:hAnsi="Rubik" w:cs="Rubik"/>
          <w:i/>
          <w:iCs/>
        </w:rPr>
        <w:t>, con una gama completa y soluciones diseñadas para maximizar calidad, consistencia y rentabilidad</w:t>
      </w:r>
      <w:r>
        <w:rPr>
          <w:rFonts w:ascii="Rubik" w:hAnsi="Rubik" w:cs="Rubik"/>
          <w:i/>
          <w:iCs/>
        </w:rPr>
        <w:t xml:space="preserve"> en cocina</w:t>
      </w:r>
    </w:p>
    <w:p w14:paraId="4514E3FF" w14:textId="77777777" w:rsidR="005A5175" w:rsidRDefault="005A5175" w:rsidP="000545EB">
      <w:pPr>
        <w:spacing w:after="0" w:line="240" w:lineRule="auto"/>
        <w:jc w:val="both"/>
        <w:rPr>
          <w:rFonts w:ascii="Rubik" w:eastAsia="Aptos" w:hAnsi="Rubik" w:cs="Rubik"/>
          <w:b/>
          <w:bCs/>
          <w:kern w:val="2"/>
          <w:sz w:val="20"/>
          <w:szCs w:val="20"/>
          <w14:ligatures w14:val="standardContextual"/>
        </w:rPr>
      </w:pPr>
    </w:p>
    <w:p w14:paraId="07496BE5" w14:textId="77777777" w:rsidR="0074691E" w:rsidRDefault="0074691E" w:rsidP="000545EB">
      <w:pPr>
        <w:spacing w:after="0" w:line="240" w:lineRule="auto"/>
        <w:jc w:val="both"/>
        <w:rPr>
          <w:rFonts w:ascii="Rubik" w:eastAsia="Aptos" w:hAnsi="Rubik" w:cs="Rubik"/>
          <w:b/>
          <w:bCs/>
          <w:kern w:val="2"/>
          <w14:ligatures w14:val="standardContextual"/>
        </w:rPr>
      </w:pPr>
    </w:p>
    <w:p w14:paraId="1CB8AC29" w14:textId="1DCFEEF1" w:rsidR="000545EB" w:rsidRPr="0074691E" w:rsidRDefault="000916B9" w:rsidP="000545EB">
      <w:pPr>
        <w:spacing w:after="0" w:line="240" w:lineRule="auto"/>
        <w:jc w:val="both"/>
        <w:rPr>
          <w:rFonts w:ascii="Rubik" w:eastAsia="Aptos" w:hAnsi="Rubik" w:cs="Rubik"/>
          <w:kern w:val="2"/>
          <w14:ligatures w14:val="standardContextual"/>
        </w:rPr>
      </w:pPr>
      <w:r w:rsidRPr="0074691E">
        <w:rPr>
          <w:rFonts w:ascii="Rubik" w:eastAsia="Aptos" w:hAnsi="Rubik" w:cs="Rubik"/>
          <w:b/>
          <w:bCs/>
          <w:kern w:val="2"/>
          <w14:ligatures w14:val="standardContextual"/>
        </w:rPr>
        <w:t xml:space="preserve">Madrid, </w:t>
      </w:r>
      <w:r w:rsidR="007339C3">
        <w:rPr>
          <w:rFonts w:ascii="Rubik" w:eastAsia="Aptos" w:hAnsi="Rubik" w:cs="Rubik"/>
          <w:b/>
          <w:bCs/>
          <w:kern w:val="2"/>
          <w14:ligatures w14:val="standardContextual"/>
        </w:rPr>
        <w:t>14</w:t>
      </w:r>
      <w:r w:rsidRPr="0074691E">
        <w:rPr>
          <w:rFonts w:ascii="Rubik" w:eastAsia="Aptos" w:hAnsi="Rubik" w:cs="Rubik"/>
          <w:b/>
          <w:bCs/>
          <w:kern w:val="2"/>
          <w14:ligatures w14:val="standardContextual"/>
        </w:rPr>
        <w:t xml:space="preserve"> de </w:t>
      </w:r>
      <w:r w:rsidR="00D26621">
        <w:rPr>
          <w:rFonts w:ascii="Rubik" w:eastAsia="Aptos" w:hAnsi="Rubik" w:cs="Rubik"/>
          <w:b/>
          <w:bCs/>
          <w:kern w:val="2"/>
          <w14:ligatures w14:val="standardContextual"/>
        </w:rPr>
        <w:t>abril</w:t>
      </w:r>
      <w:r w:rsidRPr="0074691E">
        <w:rPr>
          <w:rFonts w:ascii="Rubik" w:eastAsia="Aptos" w:hAnsi="Rubik" w:cs="Rubik"/>
          <w:b/>
          <w:bCs/>
          <w:kern w:val="2"/>
          <w14:ligatures w14:val="standardContextual"/>
        </w:rPr>
        <w:t xml:space="preserve"> de 2026</w:t>
      </w:r>
      <w:r w:rsidR="000545EB" w:rsidRPr="0074691E">
        <w:rPr>
          <w:rFonts w:ascii="Rubik" w:eastAsia="Aptos" w:hAnsi="Rubik" w:cs="Rubik"/>
          <w:b/>
          <w:bCs/>
          <w:kern w:val="2"/>
          <w14:ligatures w14:val="standardContextual"/>
        </w:rPr>
        <w:t>.-</w:t>
      </w:r>
      <w:r w:rsidRPr="0074691E">
        <w:rPr>
          <w:rFonts w:ascii="Rubik" w:eastAsia="Aptos" w:hAnsi="Rubik" w:cs="Rubik"/>
          <w:kern w:val="2"/>
          <w14:ligatures w14:val="standardContextual"/>
        </w:rPr>
        <w:t xml:space="preserve"> </w:t>
      </w:r>
      <w:r w:rsidR="000545EB" w:rsidRPr="0074691E">
        <w:rPr>
          <w:rFonts w:ascii="Rubik" w:eastAsia="Aptos" w:hAnsi="Rubik" w:cs="Rubik"/>
          <w:kern w:val="2"/>
          <w14:ligatures w14:val="standardContextual"/>
        </w:rPr>
        <w:t>Lactalis Foodservice, unidad de negocio de Lactalis España</w:t>
      </w:r>
      <w:r w:rsidR="00F203B9" w:rsidRPr="0074691E">
        <w:rPr>
          <w:rFonts w:ascii="Rubik" w:eastAsia="Aptos" w:hAnsi="Rubik" w:cs="Rubik"/>
          <w:kern w:val="2"/>
          <w14:ligatures w14:val="standardContextual"/>
        </w:rPr>
        <w:t xml:space="preserve"> </w:t>
      </w:r>
      <w:r w:rsidR="000545EB" w:rsidRPr="0074691E">
        <w:rPr>
          <w:rFonts w:ascii="Rubik" w:eastAsia="Aptos" w:hAnsi="Rubik" w:cs="Rubik"/>
          <w:kern w:val="2"/>
          <w14:ligatures w14:val="standardContextual"/>
        </w:rPr>
        <w:t xml:space="preserve">especializada en soluciones lácteas para el canal profesional, ha firmado un acuerdo de colaboración con la </w:t>
      </w:r>
      <w:r w:rsidR="007339C3">
        <w:rPr>
          <w:rFonts w:ascii="Rubik" w:eastAsia="Aptos" w:hAnsi="Rubik" w:cs="Rubik"/>
          <w:kern w:val="2"/>
          <w14:ligatures w14:val="standardContextual"/>
        </w:rPr>
        <w:t>Asociación</w:t>
      </w:r>
      <w:r w:rsidR="000545EB" w:rsidRPr="0074691E">
        <w:rPr>
          <w:rFonts w:ascii="Rubik" w:eastAsia="Aptos" w:hAnsi="Rubik" w:cs="Rubik"/>
          <w:kern w:val="2"/>
          <w14:ligatures w14:val="standardContextual"/>
        </w:rPr>
        <w:t xml:space="preserve"> Italiana de Cocineros en España (FIC Spain), delegación oficial de la </w:t>
      </w:r>
      <w:r w:rsidR="000545EB" w:rsidRPr="0074691E">
        <w:rPr>
          <w:rFonts w:ascii="Rubik" w:eastAsia="Aptos" w:hAnsi="Rubik" w:cs="Rubik"/>
          <w:i/>
          <w:iCs/>
          <w:kern w:val="2"/>
          <w14:ligatures w14:val="standardContextual"/>
        </w:rPr>
        <w:t>Federazione Italiana Cuochi</w:t>
      </w:r>
      <w:r w:rsidR="000545EB" w:rsidRPr="0074691E">
        <w:rPr>
          <w:rFonts w:ascii="Rubik" w:eastAsia="Aptos" w:hAnsi="Rubik" w:cs="Rubik"/>
          <w:kern w:val="2"/>
          <w14:ligatures w14:val="standardContextual"/>
        </w:rPr>
        <w:t xml:space="preserve"> en nuestro país y </w:t>
      </w:r>
      <w:r w:rsidR="00482AF0" w:rsidRPr="0074691E">
        <w:rPr>
          <w:rFonts w:ascii="Rubik" w:eastAsia="Aptos" w:hAnsi="Rubik" w:cs="Rubik"/>
          <w:kern w:val="2"/>
          <w14:ligatures w14:val="standardContextual"/>
        </w:rPr>
        <w:t>referente institucional</w:t>
      </w:r>
      <w:r w:rsidR="000545EB" w:rsidRPr="0074691E">
        <w:rPr>
          <w:rFonts w:ascii="Rubik" w:eastAsia="Aptos" w:hAnsi="Rubik" w:cs="Rubik"/>
          <w:kern w:val="2"/>
          <w14:ligatures w14:val="standardContextual"/>
        </w:rPr>
        <w:t xml:space="preserve"> de la auténtica cocina italiana.</w:t>
      </w:r>
    </w:p>
    <w:p w14:paraId="73B15F75" w14:textId="77777777" w:rsidR="000545EB" w:rsidRPr="0074691E" w:rsidRDefault="000545EB" w:rsidP="000545EB">
      <w:pPr>
        <w:spacing w:after="0" w:line="240" w:lineRule="auto"/>
        <w:jc w:val="both"/>
        <w:rPr>
          <w:rFonts w:ascii="Rubik" w:eastAsia="Aptos" w:hAnsi="Rubik" w:cs="Rubik"/>
          <w:kern w:val="2"/>
          <w14:ligatures w14:val="standardContextual"/>
        </w:rPr>
      </w:pPr>
    </w:p>
    <w:p w14:paraId="234015B4" w14:textId="36A87965" w:rsidR="000916B9" w:rsidRPr="0074691E" w:rsidRDefault="000916B9" w:rsidP="000916B9">
      <w:pPr>
        <w:spacing w:after="0" w:line="240" w:lineRule="auto"/>
        <w:jc w:val="both"/>
        <w:rPr>
          <w:rFonts w:ascii="Rubik" w:eastAsia="Aptos" w:hAnsi="Rubik" w:cs="Rubik"/>
          <w:kern w:val="2"/>
          <w14:ligatures w14:val="standardContextual"/>
        </w:rPr>
      </w:pPr>
      <w:r w:rsidRPr="0074691E">
        <w:rPr>
          <w:rFonts w:ascii="Rubik" w:eastAsia="Aptos" w:hAnsi="Rubik" w:cs="Rubik"/>
          <w:kern w:val="2"/>
          <w14:ligatures w14:val="standardContextual"/>
        </w:rPr>
        <w:t>Esta alianza nace con el objetivo de fortalecer la presencia de Galbani Professionale</w:t>
      </w:r>
      <w:r w:rsidR="000D32B0">
        <w:rPr>
          <w:rFonts w:ascii="Rubik" w:eastAsia="Aptos" w:hAnsi="Rubik" w:cs="Rubik"/>
          <w:kern w:val="2"/>
          <w14:ligatures w14:val="standardContextual"/>
        </w:rPr>
        <w:t xml:space="preserve">, </w:t>
      </w:r>
      <w:r w:rsidR="000D32B0" w:rsidRPr="0074691E">
        <w:rPr>
          <w:rFonts w:ascii="Rubik" w:eastAsia="Aptos" w:hAnsi="Rubik" w:cs="Rubik"/>
          <w:b/>
          <w:bCs/>
          <w:kern w:val="2"/>
          <w14:ligatures w14:val="standardContextual"/>
        </w:rPr>
        <w:t xml:space="preserve">marca histórica </w:t>
      </w:r>
      <w:r w:rsidR="000D32B0">
        <w:rPr>
          <w:rFonts w:ascii="Rubik" w:eastAsia="Aptos" w:hAnsi="Rubik" w:cs="Rubik"/>
          <w:b/>
          <w:bCs/>
          <w:kern w:val="2"/>
          <w14:ligatures w14:val="standardContextual"/>
        </w:rPr>
        <w:t xml:space="preserve">de Lactalis Foodservice, </w:t>
      </w:r>
      <w:r w:rsidR="000D32B0" w:rsidRPr="0074691E">
        <w:rPr>
          <w:rFonts w:ascii="Rubik" w:eastAsia="Aptos" w:hAnsi="Rubik" w:cs="Rubik"/>
          <w:b/>
          <w:bCs/>
          <w:kern w:val="2"/>
          <w14:ligatures w14:val="standardContextual"/>
        </w:rPr>
        <w:t>con más de 140 años de tradición y número 1 en Italia</w:t>
      </w:r>
      <w:r w:rsidR="000D32B0" w:rsidRPr="0074691E">
        <w:rPr>
          <w:rFonts w:ascii="Rubik" w:eastAsia="Aptos" w:hAnsi="Rubik" w:cs="Rubik"/>
          <w:kern w:val="2"/>
          <w14:ligatures w14:val="standardContextual"/>
        </w:rPr>
        <w:t xml:space="preserve">, </w:t>
      </w:r>
      <w:r w:rsidR="000D32B0">
        <w:rPr>
          <w:rFonts w:ascii="Rubik" w:eastAsia="Aptos" w:hAnsi="Rubik" w:cs="Rubik"/>
          <w:kern w:val="2"/>
          <w14:ligatures w14:val="standardContextual"/>
        </w:rPr>
        <w:t xml:space="preserve">en el canal </w:t>
      </w:r>
      <w:r w:rsidR="00A34C38">
        <w:rPr>
          <w:rFonts w:ascii="Rubik" w:eastAsia="Aptos" w:hAnsi="Rubik" w:cs="Rubik"/>
          <w:kern w:val="2"/>
          <w14:ligatures w14:val="standardContextual"/>
        </w:rPr>
        <w:t>HORECA</w:t>
      </w:r>
      <w:r w:rsidR="000D32B0">
        <w:rPr>
          <w:rFonts w:ascii="Rubik" w:eastAsia="Aptos" w:hAnsi="Rubik" w:cs="Rubik"/>
          <w:kern w:val="2"/>
          <w14:ligatures w14:val="standardContextual"/>
        </w:rPr>
        <w:t xml:space="preserve"> español</w:t>
      </w:r>
      <w:r w:rsidRPr="0074691E">
        <w:rPr>
          <w:rFonts w:ascii="Rubik" w:eastAsia="Aptos" w:hAnsi="Rubik" w:cs="Rubik"/>
          <w:kern w:val="2"/>
          <w14:ligatures w14:val="standardContextual"/>
        </w:rPr>
        <w:t>,</w:t>
      </w:r>
      <w:r w:rsidR="000D32B0">
        <w:rPr>
          <w:rFonts w:ascii="Rubik" w:eastAsia="Aptos" w:hAnsi="Rubik" w:cs="Rubik"/>
          <w:kern w:val="2"/>
          <w14:ligatures w14:val="standardContextual"/>
        </w:rPr>
        <w:t xml:space="preserve"> </w:t>
      </w:r>
      <w:r w:rsidRPr="0074691E">
        <w:rPr>
          <w:rFonts w:ascii="Rubik" w:eastAsia="Aptos" w:hAnsi="Rubik" w:cs="Rubik"/>
          <w:kern w:val="2"/>
          <w14:ligatures w14:val="standardContextual"/>
        </w:rPr>
        <w:t>integrando sus productos en acciones formativas, eventos gastronómicos y programas de desarrollo culinario.</w:t>
      </w:r>
    </w:p>
    <w:p w14:paraId="6C8D6936" w14:textId="47481824" w:rsidR="000916B9" w:rsidRPr="0074691E" w:rsidRDefault="000916B9" w:rsidP="000916B9">
      <w:pPr>
        <w:spacing w:after="0" w:line="240" w:lineRule="auto"/>
        <w:jc w:val="both"/>
        <w:rPr>
          <w:rFonts w:ascii="Rubik" w:eastAsia="Aptos" w:hAnsi="Rubik" w:cs="Rubik"/>
          <w:kern w:val="2"/>
          <w14:ligatures w14:val="standardContextual"/>
        </w:rPr>
      </w:pPr>
    </w:p>
    <w:p w14:paraId="080A401F" w14:textId="77777777" w:rsidR="000916B9" w:rsidRPr="0074691E" w:rsidRDefault="000916B9" w:rsidP="000916B9">
      <w:pPr>
        <w:spacing w:after="0" w:line="240" w:lineRule="auto"/>
        <w:jc w:val="both"/>
        <w:rPr>
          <w:rFonts w:ascii="Rubik" w:eastAsia="Aptos" w:hAnsi="Rubik" w:cs="Rubik"/>
          <w:b/>
          <w:bCs/>
          <w:color w:val="0070C0"/>
          <w:kern w:val="2"/>
          <w14:ligatures w14:val="standardContextual"/>
        </w:rPr>
      </w:pPr>
      <w:r w:rsidRPr="0074691E">
        <w:rPr>
          <w:rFonts w:ascii="Rubik" w:eastAsia="Aptos" w:hAnsi="Rubik" w:cs="Rubik"/>
          <w:b/>
          <w:bCs/>
          <w:color w:val="0070C0"/>
          <w:kern w:val="2"/>
          <w14:ligatures w14:val="standardContextual"/>
        </w:rPr>
        <w:t>Un acuerdo para promover la excelencia culinaria italiana</w:t>
      </w:r>
    </w:p>
    <w:p w14:paraId="47B4CC33" w14:textId="77777777" w:rsidR="001B070E" w:rsidRPr="0074691E" w:rsidRDefault="001B070E" w:rsidP="000916B9">
      <w:pPr>
        <w:spacing w:after="0" w:line="240" w:lineRule="auto"/>
        <w:jc w:val="both"/>
        <w:rPr>
          <w:rFonts w:ascii="Rubik" w:eastAsia="Aptos" w:hAnsi="Rubik" w:cs="Rubik"/>
          <w:b/>
          <w:bCs/>
          <w:kern w:val="2"/>
          <w14:ligatures w14:val="standardContextual"/>
        </w:rPr>
      </w:pPr>
    </w:p>
    <w:p w14:paraId="43D4C7E4" w14:textId="7C1ACF87" w:rsidR="00E815DE" w:rsidRPr="0074691E" w:rsidRDefault="00E815DE" w:rsidP="00E815DE">
      <w:pPr>
        <w:spacing w:after="0" w:line="240" w:lineRule="auto"/>
        <w:jc w:val="both"/>
        <w:rPr>
          <w:rFonts w:ascii="Rubik" w:eastAsia="Aptos" w:hAnsi="Rubik" w:cs="Rubik"/>
          <w:kern w:val="2"/>
          <w14:ligatures w14:val="standardContextual"/>
        </w:rPr>
      </w:pPr>
      <w:r w:rsidRPr="00E815DE">
        <w:rPr>
          <w:rFonts w:ascii="Rubik" w:eastAsia="Aptos" w:hAnsi="Rubik" w:cs="Rubik"/>
          <w:kern w:val="2"/>
          <w14:ligatures w14:val="standardContextual"/>
        </w:rPr>
        <w:t xml:space="preserve">FIC Spain, integrada en FACYRE desde 2024, representa en España a una </w:t>
      </w:r>
      <w:r w:rsidRPr="0074691E">
        <w:rPr>
          <w:rFonts w:ascii="Rubik" w:eastAsia="Aptos" w:hAnsi="Rubik" w:cs="Rubik"/>
          <w:kern w:val="2"/>
          <w14:ligatures w14:val="standardContextual"/>
        </w:rPr>
        <w:t xml:space="preserve">comunidad </w:t>
      </w:r>
      <w:r w:rsidRPr="00E815DE">
        <w:rPr>
          <w:rFonts w:ascii="Rubik" w:eastAsia="Aptos" w:hAnsi="Rubik" w:cs="Rubik"/>
          <w:kern w:val="2"/>
          <w14:ligatures w14:val="standardContextual"/>
        </w:rPr>
        <w:t xml:space="preserve">internacional de más de 19.000 cocineros, embajadores y expertos vinculados a la cocina italiana auténtica. Su prestigio institucional y su capacidad de prescripción en el ecosistema gastronómico la convierten en un socio estratégico para la difusión del conocimiento culinario y la formación </w:t>
      </w:r>
      <w:r w:rsidRPr="0074691E">
        <w:rPr>
          <w:rFonts w:ascii="Rubik" w:eastAsia="Aptos" w:hAnsi="Rubik" w:cs="Rubik"/>
          <w:kern w:val="2"/>
          <w14:ligatures w14:val="standardContextual"/>
        </w:rPr>
        <w:t>profesional</w:t>
      </w:r>
      <w:r w:rsidRPr="00E815DE">
        <w:rPr>
          <w:rFonts w:ascii="Rubik" w:eastAsia="Aptos" w:hAnsi="Rubik" w:cs="Rubik"/>
          <w:kern w:val="2"/>
          <w14:ligatures w14:val="standardContextual"/>
        </w:rPr>
        <w:t>.</w:t>
      </w:r>
    </w:p>
    <w:p w14:paraId="3953FBED" w14:textId="77777777" w:rsidR="00E815DE" w:rsidRPr="00E815DE" w:rsidRDefault="00E815DE" w:rsidP="00E815DE">
      <w:pPr>
        <w:spacing w:after="0" w:line="240" w:lineRule="auto"/>
        <w:jc w:val="both"/>
        <w:rPr>
          <w:rFonts w:ascii="Rubik" w:eastAsia="Aptos" w:hAnsi="Rubik" w:cs="Rubik"/>
          <w:kern w:val="2"/>
          <w14:ligatures w14:val="standardContextual"/>
        </w:rPr>
      </w:pPr>
    </w:p>
    <w:p w14:paraId="4940F41C" w14:textId="01692F20" w:rsidR="00E815DE" w:rsidRPr="00E815DE" w:rsidRDefault="00E815DE" w:rsidP="00E815DE">
      <w:pPr>
        <w:spacing w:after="0" w:line="240" w:lineRule="auto"/>
        <w:jc w:val="both"/>
        <w:rPr>
          <w:rFonts w:ascii="Rubik" w:eastAsia="Aptos" w:hAnsi="Rubik" w:cs="Rubik"/>
          <w:kern w:val="2"/>
          <w14:ligatures w14:val="standardContextual"/>
        </w:rPr>
      </w:pPr>
      <w:r w:rsidRPr="00E815DE">
        <w:rPr>
          <w:rFonts w:ascii="Rubik" w:eastAsia="Aptos" w:hAnsi="Rubik" w:cs="Rubik"/>
          <w:kern w:val="2"/>
          <w14:ligatures w14:val="standardContextual"/>
        </w:rPr>
        <w:t xml:space="preserve">En este contexto, </w:t>
      </w:r>
      <w:r w:rsidRPr="00E815DE">
        <w:rPr>
          <w:rFonts w:ascii="Rubik" w:eastAsia="Aptos" w:hAnsi="Rubik" w:cs="Rubik"/>
          <w:b/>
          <w:bCs/>
          <w:kern w:val="2"/>
          <w14:ligatures w14:val="standardContextual"/>
        </w:rPr>
        <w:t>la colaboración con Galbani Professionale</w:t>
      </w:r>
      <w:r w:rsidR="0074691E">
        <w:rPr>
          <w:rFonts w:ascii="Rubik" w:eastAsia="Aptos" w:hAnsi="Rubik" w:cs="Rubik"/>
          <w:b/>
          <w:bCs/>
          <w:kern w:val="2"/>
          <w14:ligatures w14:val="standardContextual"/>
        </w:rPr>
        <w:t xml:space="preserve"> </w:t>
      </w:r>
      <w:r w:rsidRPr="00E815DE">
        <w:rPr>
          <w:rFonts w:ascii="Rubik" w:eastAsia="Aptos" w:hAnsi="Rubik" w:cs="Rubik"/>
          <w:b/>
          <w:bCs/>
          <w:kern w:val="2"/>
          <w14:ligatures w14:val="standardContextual"/>
        </w:rPr>
        <w:t xml:space="preserve">permitirá acercar aún más los estándares de la auténtica cocina italiana al canal </w:t>
      </w:r>
      <w:r w:rsidR="00A34C38">
        <w:rPr>
          <w:rFonts w:ascii="Rubik" w:eastAsia="Aptos" w:hAnsi="Rubik" w:cs="Rubik"/>
          <w:b/>
          <w:bCs/>
          <w:kern w:val="2"/>
          <w14:ligatures w14:val="standardContextual"/>
        </w:rPr>
        <w:t>HORECA</w:t>
      </w:r>
      <w:r w:rsidRPr="00E815DE">
        <w:rPr>
          <w:rFonts w:ascii="Rubik" w:eastAsia="Aptos" w:hAnsi="Rubik" w:cs="Rubik"/>
          <w:b/>
          <w:bCs/>
          <w:kern w:val="2"/>
          <w14:ligatures w14:val="standardContextual"/>
        </w:rPr>
        <w:t xml:space="preserve"> español</w:t>
      </w:r>
      <w:r w:rsidRPr="00E815DE">
        <w:rPr>
          <w:rFonts w:ascii="Rubik" w:eastAsia="Aptos" w:hAnsi="Rubik" w:cs="Rubik"/>
          <w:kern w:val="2"/>
          <w14:ligatures w14:val="standardContextual"/>
        </w:rPr>
        <w:t xml:space="preserve">, conectando producto, </w:t>
      </w:r>
      <w:r w:rsidR="007D5A1A" w:rsidRPr="0074691E">
        <w:rPr>
          <w:rFonts w:ascii="Rubik" w:eastAsia="Aptos" w:hAnsi="Rubik" w:cs="Rubik"/>
          <w:kern w:val="2"/>
          <w14:ligatures w14:val="standardContextual"/>
        </w:rPr>
        <w:t>técnica y</w:t>
      </w:r>
      <w:r w:rsidRPr="00E815DE">
        <w:rPr>
          <w:rFonts w:ascii="Rubik" w:eastAsia="Aptos" w:hAnsi="Rubik" w:cs="Rubik"/>
          <w:kern w:val="2"/>
          <w14:ligatures w14:val="standardContextual"/>
        </w:rPr>
        <w:t xml:space="preserve"> cultura gastronómica.</w:t>
      </w:r>
      <w:r w:rsidR="007D5A1A" w:rsidRPr="0074691E">
        <w:rPr>
          <w:rFonts w:ascii="Rubik" w:eastAsia="Aptos" w:hAnsi="Rubik" w:cs="Rubik"/>
          <w:kern w:val="2"/>
          <w14:ligatures w14:val="standardContextual"/>
        </w:rPr>
        <w:t xml:space="preserve"> </w:t>
      </w:r>
      <w:r w:rsidRPr="00E815DE">
        <w:rPr>
          <w:rFonts w:ascii="Rubik" w:eastAsia="Aptos" w:hAnsi="Rubik" w:cs="Rubik"/>
          <w:kern w:val="2"/>
          <w14:ligatures w14:val="standardContextual"/>
        </w:rPr>
        <w:t>“Esta colaboración nos permite acercar aún más la auténtica cultura gastronómica italiana a los profesionales del sector, poniendo en valor la calidad del producto y su papel en la creación culinaria”, afirma Gema Rey, Marketing Manager de Lactalis Foodservice.</w:t>
      </w:r>
    </w:p>
    <w:p w14:paraId="493FC7F2" w14:textId="77777777" w:rsidR="00221709" w:rsidRPr="0074691E" w:rsidRDefault="00221709" w:rsidP="000916B9">
      <w:pPr>
        <w:spacing w:after="0" w:line="240" w:lineRule="auto"/>
        <w:jc w:val="both"/>
        <w:rPr>
          <w:rFonts w:ascii="Rubik" w:eastAsia="Aptos" w:hAnsi="Rubik" w:cs="Rubik"/>
          <w:kern w:val="2"/>
          <w14:ligatures w14:val="standardContextual"/>
        </w:rPr>
      </w:pPr>
    </w:p>
    <w:p w14:paraId="398FF968" w14:textId="5E0D3B6D" w:rsidR="00221709" w:rsidRPr="00221709" w:rsidRDefault="00221709" w:rsidP="00221709">
      <w:pPr>
        <w:spacing w:after="0" w:line="240" w:lineRule="auto"/>
        <w:jc w:val="both"/>
        <w:rPr>
          <w:rFonts w:ascii="Rubik" w:eastAsia="Aptos" w:hAnsi="Rubik" w:cs="Rubik"/>
          <w:b/>
          <w:bCs/>
          <w:color w:val="0070C0"/>
          <w:kern w:val="2"/>
          <w14:ligatures w14:val="standardContextual"/>
        </w:rPr>
      </w:pPr>
      <w:r w:rsidRPr="00221709">
        <w:rPr>
          <w:rFonts w:ascii="Rubik" w:eastAsia="Aptos" w:hAnsi="Rubik" w:cs="Rubik"/>
          <w:b/>
          <w:bCs/>
          <w:color w:val="0070C0"/>
          <w:kern w:val="2"/>
          <w14:ligatures w14:val="standardContextual"/>
        </w:rPr>
        <w:t xml:space="preserve">Un impulso estratégico para el canal </w:t>
      </w:r>
      <w:r w:rsidR="00A34C38">
        <w:rPr>
          <w:rFonts w:ascii="Rubik" w:eastAsia="Aptos" w:hAnsi="Rubik" w:cs="Rubik"/>
          <w:b/>
          <w:bCs/>
          <w:color w:val="0070C0"/>
          <w:kern w:val="2"/>
          <w14:ligatures w14:val="standardContextual"/>
        </w:rPr>
        <w:t>HORECA</w:t>
      </w:r>
    </w:p>
    <w:p w14:paraId="4F64FE9D" w14:textId="77777777" w:rsidR="00F203B9" w:rsidRPr="0074691E" w:rsidRDefault="00F203B9" w:rsidP="00F203B9">
      <w:pPr>
        <w:spacing w:after="0" w:line="240" w:lineRule="auto"/>
        <w:jc w:val="both"/>
        <w:rPr>
          <w:rFonts w:ascii="Rubik" w:eastAsia="Aptos" w:hAnsi="Rubik" w:cs="Rubik"/>
          <w:kern w:val="2"/>
          <w14:ligatures w14:val="standardContextual"/>
        </w:rPr>
      </w:pPr>
    </w:p>
    <w:p w14:paraId="7455CABD" w14:textId="7E6DA522" w:rsidR="00F203B9" w:rsidRPr="0074691E" w:rsidRDefault="00F203B9" w:rsidP="00F203B9">
      <w:pPr>
        <w:spacing w:after="0" w:line="240" w:lineRule="auto"/>
        <w:jc w:val="both"/>
        <w:rPr>
          <w:rFonts w:ascii="Rubik" w:eastAsia="Aptos" w:hAnsi="Rubik" w:cs="Rubik"/>
          <w:kern w:val="2"/>
          <w14:ligatures w14:val="standardContextual"/>
        </w:rPr>
      </w:pPr>
      <w:r w:rsidRPr="00F203B9">
        <w:rPr>
          <w:rFonts w:ascii="Rubik" w:eastAsia="Aptos" w:hAnsi="Rubik" w:cs="Rubik"/>
          <w:kern w:val="2"/>
          <w14:ligatures w14:val="standardContextual"/>
        </w:rPr>
        <w:t xml:space="preserve">La colaboración se articula en torno a un plan de acción para 2026 orientado a reforzar la formación, la visibilidad de producto y la conexión con la comunidad profesional. En este marco, </w:t>
      </w:r>
      <w:r w:rsidRPr="00F203B9">
        <w:rPr>
          <w:rFonts w:ascii="Rubik" w:eastAsia="Aptos" w:hAnsi="Rubik" w:cs="Rubik"/>
          <w:b/>
          <w:bCs/>
          <w:kern w:val="2"/>
          <w14:ligatures w14:val="standardContextual"/>
        </w:rPr>
        <w:t>Galbani ampliará su presencia en un ecosistema de más de 200 cocineros especializados en gastronomía italiana</w:t>
      </w:r>
      <w:r w:rsidRPr="00F203B9">
        <w:rPr>
          <w:rFonts w:ascii="Rubik" w:eastAsia="Aptos" w:hAnsi="Rubik" w:cs="Rubik"/>
          <w:kern w:val="2"/>
          <w14:ligatures w14:val="standardContextual"/>
        </w:rPr>
        <w:t>, consolidando su posicionamiento en entornos de alta prescripción como programas formativos, competiciones culinarias, ferias sectoriales y acciones de divulgación gastronómica.</w:t>
      </w:r>
    </w:p>
    <w:p w14:paraId="47035F33" w14:textId="77777777" w:rsidR="00F203B9" w:rsidRPr="00F203B9" w:rsidRDefault="00F203B9" w:rsidP="00F203B9">
      <w:pPr>
        <w:spacing w:after="0" w:line="240" w:lineRule="auto"/>
        <w:jc w:val="both"/>
        <w:rPr>
          <w:rFonts w:ascii="Rubik" w:eastAsia="Aptos" w:hAnsi="Rubik" w:cs="Rubik"/>
          <w:kern w:val="2"/>
          <w14:ligatures w14:val="standardContextual"/>
        </w:rPr>
      </w:pPr>
    </w:p>
    <w:p w14:paraId="1A4FB1A5" w14:textId="77777777" w:rsidR="00F203B9" w:rsidRPr="00F203B9" w:rsidRDefault="00F203B9" w:rsidP="00F203B9">
      <w:pPr>
        <w:spacing w:after="0" w:line="240" w:lineRule="auto"/>
        <w:jc w:val="both"/>
        <w:rPr>
          <w:rFonts w:ascii="Rubik" w:eastAsia="Aptos" w:hAnsi="Rubik" w:cs="Rubik"/>
          <w:kern w:val="2"/>
          <w14:ligatures w14:val="standardContextual"/>
        </w:rPr>
      </w:pPr>
      <w:r w:rsidRPr="00F203B9">
        <w:rPr>
          <w:rFonts w:ascii="Rubik" w:eastAsia="Aptos" w:hAnsi="Rubik" w:cs="Rubik"/>
          <w:kern w:val="2"/>
          <w14:ligatures w14:val="standardContextual"/>
        </w:rPr>
        <w:lastRenderedPageBreak/>
        <w:t>Para FIC Spain, esta alianza supone un impulso clave para seguir desarrollando iniciativas de formación, divulgación y promoción de la auténtica cultura culinaria italiana en España, reforzando su papel como referente en el sector.</w:t>
      </w:r>
    </w:p>
    <w:p w14:paraId="14803C30" w14:textId="77777777" w:rsidR="007D5A1A" w:rsidRPr="0074691E" w:rsidRDefault="007D5A1A" w:rsidP="000916B9">
      <w:pPr>
        <w:spacing w:after="0" w:line="240" w:lineRule="auto"/>
        <w:jc w:val="both"/>
        <w:rPr>
          <w:rFonts w:ascii="Rubik" w:eastAsia="Aptos" w:hAnsi="Rubik" w:cs="Rubik"/>
          <w:kern w:val="2"/>
          <w14:ligatures w14:val="standardContextual"/>
        </w:rPr>
      </w:pPr>
    </w:p>
    <w:p w14:paraId="0F675592" w14:textId="77777777" w:rsidR="00221709" w:rsidRPr="0074691E" w:rsidRDefault="00221709" w:rsidP="00221709">
      <w:pPr>
        <w:spacing w:after="0" w:line="240" w:lineRule="auto"/>
        <w:jc w:val="both"/>
        <w:rPr>
          <w:rFonts w:ascii="Rubik" w:eastAsia="Aptos" w:hAnsi="Rubik" w:cs="Rubik"/>
          <w:b/>
          <w:bCs/>
          <w:kern w:val="2"/>
          <w14:ligatures w14:val="standardContextual"/>
        </w:rPr>
      </w:pPr>
      <w:r w:rsidRPr="00221709">
        <w:rPr>
          <w:rFonts w:ascii="Rubik" w:eastAsia="Aptos" w:hAnsi="Rubik" w:cs="Rubik"/>
          <w:b/>
          <w:bCs/>
          <w:color w:val="0070C0"/>
          <w:kern w:val="2"/>
          <w14:ligatures w14:val="standardContextual"/>
        </w:rPr>
        <w:t>Galbani Professionale: mucho más que producto, un partner para el negocio</w:t>
      </w:r>
    </w:p>
    <w:p w14:paraId="65667204" w14:textId="77777777" w:rsidR="00221709" w:rsidRPr="00221709" w:rsidRDefault="00221709" w:rsidP="00221709">
      <w:pPr>
        <w:spacing w:after="0" w:line="240" w:lineRule="auto"/>
        <w:jc w:val="both"/>
        <w:rPr>
          <w:rFonts w:ascii="Rubik" w:eastAsia="Aptos" w:hAnsi="Rubik" w:cs="Rubik"/>
          <w:b/>
          <w:bCs/>
          <w:kern w:val="2"/>
          <w14:ligatures w14:val="standardContextual"/>
        </w:rPr>
      </w:pPr>
    </w:p>
    <w:p w14:paraId="0A4A7AFD" w14:textId="77777777" w:rsidR="00221709" w:rsidRPr="0074691E" w:rsidRDefault="00221709" w:rsidP="00221709">
      <w:pPr>
        <w:spacing w:after="0" w:line="240" w:lineRule="auto"/>
        <w:jc w:val="both"/>
        <w:rPr>
          <w:rFonts w:ascii="Rubik" w:eastAsia="Aptos" w:hAnsi="Rubik" w:cs="Rubik"/>
          <w:kern w:val="2"/>
          <w14:ligatures w14:val="standardContextual"/>
        </w:rPr>
      </w:pPr>
      <w:r w:rsidRPr="00221709">
        <w:rPr>
          <w:rFonts w:ascii="Rubik" w:eastAsia="Aptos" w:hAnsi="Rubik" w:cs="Rubik"/>
          <w:kern w:val="2"/>
          <w14:ligatures w14:val="standardContextual"/>
        </w:rPr>
        <w:t xml:space="preserve">Con más de 140 años de historia, </w:t>
      </w:r>
      <w:r w:rsidRPr="00221709">
        <w:rPr>
          <w:rFonts w:ascii="Rubik" w:eastAsia="Aptos" w:hAnsi="Rubik" w:cs="Rubik"/>
          <w:b/>
          <w:bCs/>
          <w:kern w:val="2"/>
          <w14:ligatures w14:val="standardContextual"/>
        </w:rPr>
        <w:t>Galbani Professionale</w:t>
      </w:r>
      <w:r w:rsidRPr="00221709">
        <w:rPr>
          <w:rFonts w:ascii="Rubik" w:eastAsia="Aptos" w:hAnsi="Rubik" w:cs="Rubik"/>
          <w:kern w:val="2"/>
          <w14:ligatures w14:val="standardContextual"/>
        </w:rPr>
        <w:t xml:space="preserve"> se ha consolidado como una marca de referencia internacional en quesos italianos y productos lácteos, con una propuesta diseñada específicamente para las necesidades reales del canal profesional.</w:t>
      </w:r>
    </w:p>
    <w:p w14:paraId="3F638CDA" w14:textId="77777777" w:rsidR="00221709" w:rsidRPr="00221709" w:rsidRDefault="00221709" w:rsidP="00221709">
      <w:pPr>
        <w:spacing w:after="0" w:line="240" w:lineRule="auto"/>
        <w:jc w:val="both"/>
        <w:rPr>
          <w:rFonts w:ascii="Rubik" w:eastAsia="Aptos" w:hAnsi="Rubik" w:cs="Rubik"/>
          <w:kern w:val="2"/>
          <w14:ligatures w14:val="standardContextual"/>
        </w:rPr>
      </w:pPr>
    </w:p>
    <w:p w14:paraId="665CF12F" w14:textId="77777777" w:rsidR="00221709" w:rsidRDefault="00221709" w:rsidP="00221709">
      <w:pPr>
        <w:spacing w:after="0" w:line="240" w:lineRule="auto"/>
        <w:jc w:val="both"/>
        <w:rPr>
          <w:rFonts w:ascii="Rubik" w:eastAsia="Aptos" w:hAnsi="Rubik" w:cs="Rubik"/>
          <w:kern w:val="2"/>
          <w14:ligatures w14:val="standardContextual"/>
        </w:rPr>
      </w:pPr>
      <w:r w:rsidRPr="00221709">
        <w:rPr>
          <w:rFonts w:ascii="Rubik" w:eastAsia="Aptos" w:hAnsi="Rubik" w:cs="Rubik"/>
          <w:kern w:val="2"/>
          <w14:ligatures w14:val="standardContextual"/>
        </w:rPr>
        <w:t>Su posicionamiento se articula en torno a cinco pilares diferenciales:</w:t>
      </w:r>
    </w:p>
    <w:p w14:paraId="7189BB4F" w14:textId="77777777" w:rsidR="00282819" w:rsidRPr="00221709" w:rsidRDefault="00282819" w:rsidP="00221709">
      <w:pPr>
        <w:spacing w:after="0" w:line="240" w:lineRule="auto"/>
        <w:jc w:val="both"/>
        <w:rPr>
          <w:rFonts w:ascii="Rubik" w:eastAsia="Aptos" w:hAnsi="Rubik" w:cs="Rubik"/>
          <w:kern w:val="2"/>
          <w14:ligatures w14:val="standardContextual"/>
        </w:rPr>
      </w:pPr>
    </w:p>
    <w:p w14:paraId="169D7789" w14:textId="77777777" w:rsidR="00221709" w:rsidRPr="00221709" w:rsidRDefault="00221709" w:rsidP="00221709">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t>Calidad constante y certificada</w:t>
      </w:r>
      <w:r w:rsidRPr="00221709">
        <w:rPr>
          <w:rFonts w:ascii="Rubik" w:eastAsia="Aptos" w:hAnsi="Rubik" w:cs="Rubik"/>
          <w:kern w:val="2"/>
          <w14:ligatures w14:val="standardContextual"/>
        </w:rPr>
        <w:t xml:space="preserve">: más de 6.000 controles diarios a lo largo de toda la cadena garantizan regularidad, seguridad y rendimiento en cocina. </w:t>
      </w:r>
    </w:p>
    <w:p w14:paraId="31FF85FB" w14:textId="77777777" w:rsidR="00221709" w:rsidRPr="00221709" w:rsidRDefault="00221709" w:rsidP="00221709">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t>Tradición e innovación</w:t>
      </w:r>
      <w:r w:rsidRPr="00221709">
        <w:rPr>
          <w:rFonts w:ascii="Rubik" w:eastAsia="Aptos" w:hAnsi="Rubik" w:cs="Rubik"/>
          <w:kern w:val="2"/>
          <w14:ligatures w14:val="standardContextual"/>
        </w:rPr>
        <w:t xml:space="preserve">: una marca que mantiene intacto el saber hacer italiano desde 1882, evolucionando con soluciones adaptadas a las nuevas exigencias del sector. </w:t>
      </w:r>
    </w:p>
    <w:p w14:paraId="32C3C567" w14:textId="77777777" w:rsidR="00221709" w:rsidRPr="00221709" w:rsidRDefault="00221709" w:rsidP="00221709">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t>Gama diseñada por y para profesionales</w:t>
      </w:r>
      <w:r w:rsidRPr="00221709">
        <w:rPr>
          <w:rFonts w:ascii="Rubik" w:eastAsia="Aptos" w:hAnsi="Rubik" w:cs="Rubik"/>
          <w:kern w:val="2"/>
          <w14:ligatures w14:val="standardContextual"/>
        </w:rPr>
        <w:t xml:space="preserve">: formatos, cortes y funcionalidades pensados para optimizar procesos, reducir mermas y mejorar la operativa en cocina. </w:t>
      </w:r>
    </w:p>
    <w:p w14:paraId="1B78C461" w14:textId="77777777" w:rsidR="00221709" w:rsidRPr="00221709" w:rsidRDefault="00221709" w:rsidP="00221709">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t>Acompañamiento al cliente</w:t>
      </w:r>
      <w:r w:rsidRPr="00221709">
        <w:rPr>
          <w:rFonts w:ascii="Rubik" w:eastAsia="Aptos" w:hAnsi="Rubik" w:cs="Rubik"/>
          <w:kern w:val="2"/>
          <w14:ligatures w14:val="standardContextual"/>
        </w:rPr>
        <w:t xml:space="preserve">: soporte comercial, técnico y culinario, con un enfoque de partnership orientado al desarrollo del negocio. </w:t>
      </w:r>
    </w:p>
    <w:p w14:paraId="03128D6A" w14:textId="77777777" w:rsidR="00221709" w:rsidRPr="00221709" w:rsidRDefault="00221709" w:rsidP="00221709">
      <w:pPr>
        <w:numPr>
          <w:ilvl w:val="0"/>
          <w:numId w:val="12"/>
        </w:numPr>
        <w:spacing w:after="0" w:line="240" w:lineRule="auto"/>
        <w:jc w:val="both"/>
        <w:rPr>
          <w:rFonts w:ascii="Rubik" w:eastAsia="Aptos" w:hAnsi="Rubik" w:cs="Rubik"/>
          <w:kern w:val="2"/>
          <w14:ligatures w14:val="standardContextual"/>
        </w:rPr>
      </w:pPr>
      <w:r w:rsidRPr="00221709">
        <w:rPr>
          <w:rFonts w:ascii="Rubik" w:eastAsia="Aptos" w:hAnsi="Rubik" w:cs="Rubik"/>
          <w:b/>
          <w:bCs/>
          <w:kern w:val="2"/>
          <w14:ligatures w14:val="standardContextual"/>
        </w:rPr>
        <w:t>Rentabilidad a través de la calidad</w:t>
      </w:r>
      <w:r w:rsidRPr="00221709">
        <w:rPr>
          <w:rFonts w:ascii="Rubik" w:eastAsia="Aptos" w:hAnsi="Rubik" w:cs="Rubik"/>
          <w:kern w:val="2"/>
          <w14:ligatures w14:val="standardContextual"/>
        </w:rPr>
        <w:t xml:space="preserve">: productos que no solo elevan el resultado final del plato, sino que impactan directamente en la percepción del cliente y en la cuenta de resultados del establecimiento. </w:t>
      </w:r>
    </w:p>
    <w:p w14:paraId="75197995" w14:textId="77777777" w:rsidR="00221709" w:rsidRPr="0074691E" w:rsidRDefault="00221709" w:rsidP="00221709">
      <w:pPr>
        <w:spacing w:after="0" w:line="240" w:lineRule="auto"/>
        <w:jc w:val="both"/>
        <w:rPr>
          <w:rFonts w:ascii="Rubik" w:eastAsia="Aptos" w:hAnsi="Rubik" w:cs="Rubik"/>
          <w:kern w:val="2"/>
          <w14:ligatures w14:val="standardContextual"/>
        </w:rPr>
      </w:pPr>
    </w:p>
    <w:p w14:paraId="79C7DC9E" w14:textId="691F6959" w:rsidR="00221709" w:rsidRPr="0074691E" w:rsidRDefault="00221709" w:rsidP="00221709">
      <w:pPr>
        <w:spacing w:after="0" w:line="240" w:lineRule="auto"/>
        <w:jc w:val="both"/>
        <w:rPr>
          <w:rFonts w:ascii="Rubik" w:eastAsia="Aptos" w:hAnsi="Rubik" w:cs="Rubik"/>
          <w:kern w:val="2"/>
          <w14:ligatures w14:val="standardContextual"/>
        </w:rPr>
      </w:pPr>
      <w:r w:rsidRPr="00221709">
        <w:rPr>
          <w:rFonts w:ascii="Rubik" w:eastAsia="Aptos" w:hAnsi="Rubik" w:cs="Rubik"/>
          <w:kern w:val="2"/>
          <w14:ligatures w14:val="standardContextual"/>
        </w:rPr>
        <w:t xml:space="preserve">Además, Galbani destaca por ofrecer una de las </w:t>
      </w:r>
      <w:r w:rsidRPr="00221709">
        <w:rPr>
          <w:rFonts w:ascii="Rubik" w:eastAsia="Aptos" w:hAnsi="Rubik" w:cs="Rubik"/>
          <w:b/>
          <w:bCs/>
          <w:kern w:val="2"/>
          <w14:ligatures w14:val="standardContextual"/>
        </w:rPr>
        <w:t>gamas más completas del mercado</w:t>
      </w:r>
      <w:r w:rsidRPr="00221709">
        <w:rPr>
          <w:rFonts w:ascii="Rubik" w:eastAsia="Aptos" w:hAnsi="Rubik" w:cs="Rubik"/>
          <w:kern w:val="2"/>
          <w14:ligatures w14:val="standardContextual"/>
        </w:rPr>
        <w:t>, integrando quesos y charcutería italiana en una propuesta única que simplifica la gestión de proveedores y garantiza coherencia en la oferta gastronómica.</w:t>
      </w:r>
    </w:p>
    <w:p w14:paraId="3C1AEF49" w14:textId="77777777" w:rsidR="00221709" w:rsidRPr="00221709" w:rsidRDefault="00221709" w:rsidP="00221709">
      <w:pPr>
        <w:spacing w:after="0" w:line="240" w:lineRule="auto"/>
        <w:jc w:val="both"/>
        <w:rPr>
          <w:rFonts w:ascii="Rubik" w:eastAsia="Aptos" w:hAnsi="Rubik" w:cs="Rubik"/>
          <w:kern w:val="2"/>
          <w14:ligatures w14:val="standardContextual"/>
        </w:rPr>
      </w:pPr>
    </w:p>
    <w:p w14:paraId="50C96F1E" w14:textId="2E36BC77" w:rsidR="000916B9" w:rsidRPr="00282819" w:rsidRDefault="00221709" w:rsidP="000916B9">
      <w:pPr>
        <w:spacing w:after="0" w:line="240" w:lineRule="auto"/>
        <w:jc w:val="both"/>
        <w:rPr>
          <w:rFonts w:ascii="Rubik" w:eastAsia="Aptos" w:hAnsi="Rubik" w:cs="Rubik"/>
          <w:kern w:val="2"/>
          <w14:ligatures w14:val="standardContextual"/>
        </w:rPr>
      </w:pPr>
      <w:r w:rsidRPr="00221709">
        <w:rPr>
          <w:rFonts w:ascii="Rubik" w:eastAsia="Aptos" w:hAnsi="Rubik" w:cs="Rubik"/>
          <w:kern w:val="2"/>
          <w14:ligatures w14:val="standardContextual"/>
        </w:rPr>
        <w:t xml:space="preserve">Soluciones específicas como la mozzarella </w:t>
      </w:r>
      <w:r w:rsidRPr="00221709">
        <w:rPr>
          <w:rFonts w:ascii="Rubik" w:eastAsia="Aptos" w:hAnsi="Rubik" w:cs="Rubik"/>
          <w:i/>
          <w:iCs/>
          <w:kern w:val="2"/>
          <w14:ligatures w14:val="standardContextual"/>
        </w:rPr>
        <w:t>Fior di Latte Taglio Napoli</w:t>
      </w:r>
      <w:r w:rsidRPr="00221709">
        <w:rPr>
          <w:rFonts w:ascii="Rubik" w:eastAsia="Aptos" w:hAnsi="Rubik" w:cs="Rubik"/>
          <w:kern w:val="2"/>
          <w14:ligatures w14:val="standardContextual"/>
        </w:rPr>
        <w:t>, desarrollada para pizza napolitana, reflejan esta vocación de especialización: productos que aportan rendimiento técnico (resistencia a altas temperaturas, fundido óptimo, textura y color) y consistencia en el resultado final.</w:t>
      </w:r>
    </w:p>
    <w:p w14:paraId="1B7E7F8D" w14:textId="77777777" w:rsidR="00CD0657" w:rsidRPr="00CD0657" w:rsidRDefault="00CD0657" w:rsidP="00CD0657">
      <w:pPr>
        <w:spacing w:after="0" w:line="240" w:lineRule="auto"/>
        <w:jc w:val="both"/>
        <w:rPr>
          <w:rFonts w:ascii="Rubik" w:eastAsia="Aptos" w:hAnsi="Rubik" w:cs="Rubik"/>
          <w:kern w:val="2"/>
          <w:sz w:val="20"/>
          <w:szCs w:val="20"/>
          <w14:ligatures w14:val="standardContextual"/>
        </w:rPr>
      </w:pPr>
    </w:p>
    <w:p w14:paraId="76C64FAA" w14:textId="638695C9" w:rsidR="0050041B" w:rsidRPr="00CD0657" w:rsidRDefault="00A1424B" w:rsidP="00CD0657">
      <w:pPr>
        <w:pStyle w:val="NormalWeb"/>
        <w:spacing w:before="0" w:beforeAutospacing="0" w:after="0" w:afterAutospacing="0"/>
        <w:jc w:val="both"/>
        <w:rPr>
          <w:rFonts w:ascii="Rubik" w:hAnsi="Rubik" w:cs="Rubik"/>
          <w:b/>
          <w:bCs/>
          <w:color w:val="002060"/>
          <w:sz w:val="18"/>
          <w:szCs w:val="18"/>
        </w:rPr>
      </w:pPr>
      <w:r w:rsidRPr="00CD0657">
        <w:rPr>
          <w:rFonts w:ascii="Rubik" w:hAnsi="Rubik" w:cs="Rubik"/>
          <w:b/>
          <w:bCs/>
          <w:sz w:val="21"/>
          <w:szCs w:val="21"/>
        </w:rPr>
        <w:t xml:space="preserve"> </w:t>
      </w:r>
      <w:r w:rsidR="0050041B" w:rsidRPr="00CD0657">
        <w:rPr>
          <w:rFonts w:ascii="Rubik" w:hAnsi="Rubik" w:cs="Rubik"/>
          <w:b/>
          <w:bCs/>
          <w:noProof/>
          <w:color w:val="002060"/>
          <w:sz w:val="18"/>
          <w:szCs w:val="18"/>
        </w:rPr>
        <w:drawing>
          <wp:anchor distT="0" distB="0" distL="114300" distR="114300" simplePos="0" relativeHeight="251659264" behindDoc="1" locked="0" layoutInCell="1" allowOverlap="1" wp14:anchorId="3F2096BF" wp14:editId="60440503">
            <wp:simplePos x="0" y="0"/>
            <wp:positionH relativeFrom="column">
              <wp:posOffset>-21590</wp:posOffset>
            </wp:positionH>
            <wp:positionV relativeFrom="paragraph">
              <wp:posOffset>33020</wp:posOffset>
            </wp:positionV>
            <wp:extent cx="1973751" cy="99069"/>
            <wp:effectExtent l="0" t="0" r="7620" b="0"/>
            <wp:wrapTight wrapText="bothSides">
              <wp:wrapPolygon edited="0">
                <wp:start x="0" y="0"/>
                <wp:lineTo x="0" y="16615"/>
                <wp:lineTo x="21475" y="16615"/>
                <wp:lineTo x="21475" y="0"/>
                <wp:lineTo x="0" y="0"/>
              </wp:wrapPolygon>
            </wp:wrapTight>
            <wp:docPr id="250986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6959" name=""/>
                    <pic:cNvPicPr/>
                  </pic:nvPicPr>
                  <pic:blipFill>
                    <a:blip r:embed="rId8">
                      <a:extLst>
                        <a:ext uri="{28A0092B-C50C-407E-A947-70E740481C1C}">
                          <a14:useLocalDpi xmlns:a14="http://schemas.microsoft.com/office/drawing/2010/main" val="0"/>
                        </a:ext>
                      </a:extLst>
                    </a:blip>
                    <a:stretch>
                      <a:fillRect/>
                    </a:stretch>
                  </pic:blipFill>
                  <pic:spPr>
                    <a:xfrm>
                      <a:off x="0" y="0"/>
                      <a:ext cx="1973751" cy="99069"/>
                    </a:xfrm>
                    <a:prstGeom prst="rect">
                      <a:avLst/>
                    </a:prstGeom>
                  </pic:spPr>
                </pic:pic>
              </a:graphicData>
            </a:graphic>
            <wp14:sizeRelH relativeFrom="page">
              <wp14:pctWidth>0</wp14:pctWidth>
            </wp14:sizeRelH>
            <wp14:sizeRelV relativeFrom="page">
              <wp14:pctHeight>0</wp14:pctHeight>
            </wp14:sizeRelV>
          </wp:anchor>
        </w:drawing>
      </w:r>
      <w:r w:rsidR="0050041B" w:rsidRPr="00CD0657">
        <w:rPr>
          <w:rFonts w:ascii="Rubik" w:hAnsi="Rubik" w:cs="Rubik"/>
          <w:b/>
          <w:bCs/>
          <w:color w:val="002060"/>
          <w:sz w:val="18"/>
          <w:szCs w:val="18"/>
        </w:rPr>
        <w:br/>
        <w:t>Sobre LACTALIS FOORSERVICE</w:t>
      </w:r>
    </w:p>
    <w:p w14:paraId="48DDEE7A" w14:textId="77777777" w:rsidR="0050041B" w:rsidRPr="00CD0657" w:rsidRDefault="0050041B" w:rsidP="00CD0657">
      <w:pPr>
        <w:spacing w:after="0" w:line="240" w:lineRule="auto"/>
        <w:jc w:val="both"/>
        <w:rPr>
          <w:rFonts w:ascii="Rubik" w:hAnsi="Rubik" w:cs="Rubik"/>
          <w:bCs/>
          <w:color w:val="002060"/>
          <w:sz w:val="18"/>
          <w:szCs w:val="18"/>
        </w:rPr>
      </w:pPr>
      <w:r w:rsidRPr="00CD0657">
        <w:rPr>
          <w:rFonts w:ascii="Rubik" w:hAnsi="Rubik" w:cs="Rubik"/>
          <w:bCs/>
          <w:color w:val="002060"/>
          <w:sz w:val="18"/>
          <w:szCs w:val="18"/>
        </w:rPr>
        <w:t>Lactalis Foodservice es la unidad de negocio especializada de Lactalis España orientada al canal profesional, con soluciones lácteas adaptadas a las necesidades de bares, cafeterías, restaurantes, hoteles, colectividades y distribuidores. A través de un porfolio amplio de marcas de referencia —como Puleva, Président Profesional, Galbani Professionale, Flor de Esgueva, El Castillo, Lauki o El Ventero—, desarrolla propuestas innovadoras, versátiles y de alta calidad pensadas para aportar valor añadido en la cocina y en sala.</w:t>
      </w:r>
    </w:p>
    <w:p w14:paraId="051296BD" w14:textId="77777777" w:rsidR="0050041B" w:rsidRPr="00CD0657" w:rsidRDefault="0050041B" w:rsidP="00CD0657">
      <w:pPr>
        <w:spacing w:after="0" w:line="240" w:lineRule="auto"/>
        <w:jc w:val="both"/>
        <w:rPr>
          <w:rFonts w:ascii="Rubik" w:hAnsi="Rubik" w:cs="Rubik"/>
          <w:bCs/>
          <w:color w:val="002060"/>
          <w:sz w:val="18"/>
          <w:szCs w:val="18"/>
        </w:rPr>
      </w:pPr>
    </w:p>
    <w:p w14:paraId="352D9106" w14:textId="77777777" w:rsidR="0050041B" w:rsidRPr="00CD0657" w:rsidRDefault="0050041B" w:rsidP="00CD0657">
      <w:pPr>
        <w:spacing w:after="0" w:line="240" w:lineRule="auto"/>
        <w:jc w:val="both"/>
        <w:rPr>
          <w:rFonts w:ascii="Rubik" w:hAnsi="Rubik" w:cs="Rubik"/>
          <w:bCs/>
          <w:color w:val="002060"/>
          <w:sz w:val="18"/>
          <w:szCs w:val="18"/>
        </w:rPr>
      </w:pPr>
      <w:r w:rsidRPr="00CD0657">
        <w:rPr>
          <w:rFonts w:ascii="Rubik" w:hAnsi="Rubik" w:cs="Rubik"/>
          <w:bCs/>
          <w:color w:val="002060"/>
          <w:sz w:val="18"/>
          <w:szCs w:val="18"/>
        </w:rPr>
        <w:t>Forma parte de grupo Lactalis, líder mundial en productos lácteos, presente en 150 países, con más de 85.500 empleados y 266 centros de producción. En España, donde opera desde 1983, la compañía cuenta con 8 plantas industriales —seis de ellas en municipios de menos de 25.000 habitantes— y un equipo de más de 2.600 profesionales. Su compromiso con el territorio se refleja en la colaboración con más de 1.400 ganaderos, con quienes recoge anualmente cerca de 1.000 millones de litros de leche, el 97,7% bajo certificación de Bienestar Animal Welfair®.</w:t>
      </w:r>
    </w:p>
    <w:p w14:paraId="30216E25" w14:textId="77777777" w:rsidR="0050041B" w:rsidRPr="00CD0657" w:rsidRDefault="0050041B" w:rsidP="00CD0657">
      <w:pPr>
        <w:spacing w:after="0" w:line="240" w:lineRule="auto"/>
        <w:jc w:val="both"/>
        <w:rPr>
          <w:rFonts w:ascii="Rubik" w:hAnsi="Rubik" w:cs="Rubik"/>
          <w:bCs/>
          <w:color w:val="002060"/>
          <w:sz w:val="18"/>
          <w:szCs w:val="18"/>
        </w:rPr>
      </w:pPr>
    </w:p>
    <w:p w14:paraId="0D8B488D" w14:textId="6EDCFB3E" w:rsidR="0050041B" w:rsidRPr="00CD0657" w:rsidRDefault="0050041B" w:rsidP="00CD0657">
      <w:pPr>
        <w:spacing w:after="0" w:line="240" w:lineRule="auto"/>
        <w:jc w:val="both"/>
        <w:rPr>
          <w:rFonts w:ascii="Rubik" w:hAnsi="Rubik" w:cs="Rubik"/>
          <w:bCs/>
          <w:color w:val="002060"/>
          <w:sz w:val="18"/>
          <w:szCs w:val="18"/>
        </w:rPr>
      </w:pPr>
      <w:r w:rsidRPr="00CD0657">
        <w:rPr>
          <w:rFonts w:ascii="Rubik" w:hAnsi="Rubik" w:cs="Rubik"/>
          <w:bCs/>
          <w:color w:val="002060"/>
          <w:sz w:val="18"/>
          <w:szCs w:val="18"/>
        </w:rPr>
        <w:t xml:space="preserve">Lactalis Food Service impulsa activamente el desarrollo del canal </w:t>
      </w:r>
      <w:r w:rsidR="00A34C38">
        <w:rPr>
          <w:rFonts w:ascii="Rubik" w:hAnsi="Rubik" w:cs="Rubik"/>
          <w:bCs/>
          <w:color w:val="002060"/>
          <w:sz w:val="18"/>
          <w:szCs w:val="18"/>
        </w:rPr>
        <w:t>HORECA</w:t>
      </w:r>
      <w:r w:rsidRPr="00CD0657">
        <w:rPr>
          <w:rFonts w:ascii="Rubik" w:hAnsi="Rubik" w:cs="Rubik"/>
          <w:bCs/>
          <w:color w:val="002060"/>
          <w:sz w:val="18"/>
          <w:szCs w:val="18"/>
        </w:rPr>
        <w:t xml:space="preserve"> a través de acciones de proximidad, programas de formación, desarrollo conjunto con clientes y campañas que ponen en valor el trabajo de los profesionales de la hostelería. Todo ello con una firme vocación de innovación, compromiso con la calidad y la sostenibilidad en cada etapa de la cadena de valor.</w:t>
      </w:r>
    </w:p>
    <w:p w14:paraId="336B0B29" w14:textId="77777777" w:rsidR="0050041B" w:rsidRPr="00CD0657" w:rsidRDefault="0050041B" w:rsidP="00CD0657">
      <w:pPr>
        <w:spacing w:after="0" w:line="240" w:lineRule="auto"/>
        <w:jc w:val="both"/>
        <w:rPr>
          <w:rFonts w:ascii="Rubik" w:hAnsi="Rubik" w:cs="Rubik"/>
          <w:bCs/>
          <w:color w:val="002060"/>
          <w:sz w:val="18"/>
          <w:szCs w:val="18"/>
        </w:rPr>
      </w:pPr>
    </w:p>
    <w:p w14:paraId="2C97F7BE" w14:textId="5A9122E0" w:rsidR="0050041B" w:rsidRPr="00CD0657" w:rsidRDefault="0050041B" w:rsidP="00CD0657">
      <w:pPr>
        <w:spacing w:after="0" w:line="240" w:lineRule="auto"/>
        <w:jc w:val="both"/>
        <w:rPr>
          <w:rFonts w:ascii="Rubik" w:hAnsi="Rubik" w:cs="Rubik"/>
          <w:bCs/>
          <w:sz w:val="18"/>
          <w:szCs w:val="18"/>
        </w:rPr>
      </w:pPr>
      <w:r w:rsidRPr="00CD0657">
        <w:rPr>
          <w:rFonts w:ascii="Rubik" w:hAnsi="Rubik" w:cs="Rubik"/>
          <w:bCs/>
          <w:color w:val="002060"/>
          <w:sz w:val="18"/>
          <w:szCs w:val="18"/>
        </w:rPr>
        <w:t>Más información en:</w:t>
      </w:r>
      <w:r w:rsidRPr="00CD0657">
        <w:rPr>
          <w:rFonts w:ascii="Rubik" w:hAnsi="Rubik" w:cs="Rubik"/>
          <w:bCs/>
          <w:sz w:val="18"/>
          <w:szCs w:val="18"/>
        </w:rPr>
        <w:t xml:space="preserve"> </w:t>
      </w:r>
      <w:hyperlink r:id="rId9" w:history="1">
        <w:r w:rsidR="007A1392" w:rsidRPr="00E364AB">
          <w:rPr>
            <w:rStyle w:val="Hipervnculo"/>
            <w:rFonts w:ascii="Rubik" w:hAnsi="Rubik" w:cs="Rubik"/>
            <w:bCs/>
            <w:sz w:val="18"/>
            <w:szCs w:val="18"/>
          </w:rPr>
          <w:t>www.lactalisfoodservice.com</w:t>
        </w:r>
        <w:r w:rsidR="007A1392" w:rsidRPr="00E364AB">
          <w:rPr>
            <w:rStyle w:val="Hipervnculo"/>
          </w:rPr>
          <w:t>/</w:t>
        </w:r>
      </w:hyperlink>
      <w:r w:rsidR="007A1392">
        <w:t xml:space="preserve"> </w:t>
      </w:r>
      <w:hyperlink r:id="rId10" w:history="1">
        <w:r w:rsidRPr="00CD0657">
          <w:rPr>
            <w:rStyle w:val="Hipervnculo"/>
            <w:rFonts w:ascii="Rubik" w:hAnsi="Rubik" w:cs="Rubik"/>
            <w:bCs/>
            <w:sz w:val="18"/>
            <w:szCs w:val="18"/>
          </w:rPr>
          <w:t>www.lactalis.es</w:t>
        </w:r>
      </w:hyperlink>
      <w:r w:rsidRPr="00CD0657">
        <w:rPr>
          <w:rFonts w:ascii="Rubik" w:hAnsi="Rubik" w:cs="Rubik"/>
        </w:rPr>
        <w:t xml:space="preserve"> </w:t>
      </w:r>
      <w:r w:rsidR="007A1392" w:rsidRPr="00CD0657">
        <w:rPr>
          <w:rFonts w:ascii="Rubik" w:hAnsi="Rubik" w:cs="Rubik"/>
          <w:bCs/>
          <w:sz w:val="18"/>
          <w:szCs w:val="18"/>
        </w:rPr>
        <w:t xml:space="preserve"> </w:t>
      </w:r>
    </w:p>
    <w:p w14:paraId="5D07F150" w14:textId="77777777" w:rsidR="0050041B" w:rsidRPr="00CD0657" w:rsidRDefault="0050041B" w:rsidP="00CD0657">
      <w:pPr>
        <w:spacing w:after="0" w:line="240" w:lineRule="auto"/>
        <w:jc w:val="both"/>
        <w:rPr>
          <w:rFonts w:ascii="Rubik" w:hAnsi="Rubik" w:cs="Rubik"/>
          <w:b/>
          <w:bCs/>
          <w:color w:val="002060"/>
          <w:sz w:val="18"/>
          <w:szCs w:val="18"/>
        </w:rPr>
      </w:pPr>
    </w:p>
    <w:p w14:paraId="5D7B000D" w14:textId="77777777" w:rsidR="0050041B" w:rsidRPr="00CD0657" w:rsidRDefault="0050041B" w:rsidP="00CD0657">
      <w:pPr>
        <w:spacing w:after="0" w:line="240" w:lineRule="auto"/>
        <w:jc w:val="both"/>
        <w:rPr>
          <w:rFonts w:ascii="Rubik" w:eastAsia="SimSun" w:hAnsi="Rubik" w:cs="Rubik"/>
          <w:b/>
          <w:bCs/>
          <w:color w:val="002060"/>
          <w:sz w:val="18"/>
          <w:szCs w:val="18"/>
          <w:lang w:eastAsia="zh-CN"/>
        </w:rPr>
      </w:pPr>
    </w:p>
    <w:p w14:paraId="7406025E" w14:textId="77777777" w:rsidR="006A56CA" w:rsidRPr="00CD0657" w:rsidRDefault="006A56CA" w:rsidP="00CD0657">
      <w:pPr>
        <w:spacing w:after="0" w:line="240" w:lineRule="auto"/>
        <w:jc w:val="both"/>
        <w:rPr>
          <w:rFonts w:ascii="Rubik" w:eastAsia="Rubik" w:hAnsi="Rubik" w:cs="Rubik"/>
          <w:b/>
          <w:color w:val="002060"/>
          <w:sz w:val="18"/>
          <w:szCs w:val="18"/>
        </w:rPr>
      </w:pPr>
      <w:r w:rsidRPr="00CD0657">
        <w:rPr>
          <w:rFonts w:ascii="Rubik" w:eastAsia="Rubik" w:hAnsi="Rubik" w:cs="Rubik"/>
          <w:b/>
          <w:color w:val="002060"/>
          <w:sz w:val="18"/>
          <w:szCs w:val="18"/>
        </w:rPr>
        <w:t>CONTACTOS DE PRENSA</w:t>
      </w:r>
    </w:p>
    <w:p w14:paraId="0987D97C" w14:textId="77777777" w:rsidR="006A56CA" w:rsidRPr="00CD0657" w:rsidRDefault="006A56CA" w:rsidP="00CD0657">
      <w:pPr>
        <w:spacing w:after="0" w:line="240" w:lineRule="auto"/>
        <w:jc w:val="both"/>
        <w:rPr>
          <w:rFonts w:ascii="Rubik" w:eastAsia="Rubik" w:hAnsi="Rubik" w:cs="Rubik"/>
          <w:color w:val="002060"/>
          <w:sz w:val="18"/>
          <w:szCs w:val="18"/>
        </w:rPr>
      </w:pPr>
    </w:p>
    <w:p w14:paraId="3BAF308E" w14:textId="77777777" w:rsidR="006A56CA" w:rsidRPr="00CD0657" w:rsidRDefault="006A56CA" w:rsidP="00CD0657">
      <w:pPr>
        <w:spacing w:after="0" w:line="240" w:lineRule="auto"/>
        <w:jc w:val="both"/>
        <w:rPr>
          <w:rFonts w:ascii="Rubik" w:eastAsia="Rubik" w:hAnsi="Rubik" w:cs="Rubik"/>
          <w:b/>
          <w:color w:val="002060"/>
          <w:sz w:val="18"/>
          <w:szCs w:val="18"/>
        </w:rPr>
      </w:pPr>
      <w:r w:rsidRPr="00CD0657">
        <w:rPr>
          <w:rFonts w:ascii="Rubik" w:eastAsia="Rubik" w:hAnsi="Rubik" w:cs="Rubik"/>
          <w:b/>
          <w:color w:val="002060"/>
          <w:sz w:val="18"/>
          <w:szCs w:val="18"/>
        </w:rPr>
        <w:t>Jorge Oliva</w:t>
      </w:r>
    </w:p>
    <w:p w14:paraId="4AE68E81" w14:textId="77777777" w:rsidR="006A56CA" w:rsidRPr="00CD0657" w:rsidRDefault="006A56CA" w:rsidP="00CD0657">
      <w:pPr>
        <w:spacing w:after="0" w:line="240" w:lineRule="auto"/>
        <w:jc w:val="both"/>
        <w:rPr>
          <w:rFonts w:ascii="Rubik" w:eastAsia="Rubik" w:hAnsi="Rubik" w:cs="Rubik"/>
          <w:color w:val="002060"/>
          <w:sz w:val="18"/>
          <w:szCs w:val="18"/>
        </w:rPr>
      </w:pPr>
      <w:r w:rsidRPr="00CD0657">
        <w:rPr>
          <w:rFonts w:ascii="Rubik" w:eastAsia="Rubik" w:hAnsi="Rubik" w:cs="Rubik"/>
          <w:color w:val="002060"/>
          <w:sz w:val="18"/>
          <w:szCs w:val="18"/>
        </w:rPr>
        <w:t>Director de Comunicación y Asuntos Públicos</w:t>
      </w:r>
    </w:p>
    <w:p w14:paraId="09F5B951" w14:textId="77777777" w:rsidR="006A56CA" w:rsidRPr="00CD0657" w:rsidRDefault="006A56CA" w:rsidP="00CD0657">
      <w:pPr>
        <w:spacing w:after="0" w:line="240" w:lineRule="auto"/>
        <w:jc w:val="both"/>
        <w:rPr>
          <w:rFonts w:ascii="Rubik" w:eastAsia="Rubik" w:hAnsi="Rubik" w:cs="Rubik"/>
          <w:sz w:val="18"/>
          <w:szCs w:val="18"/>
        </w:rPr>
      </w:pPr>
      <w:hyperlink r:id="rId11">
        <w:r w:rsidRPr="00CD0657">
          <w:rPr>
            <w:rFonts w:ascii="Rubik" w:eastAsia="Rubik" w:hAnsi="Rubik" w:cs="Rubik"/>
            <w:color w:val="0000FF"/>
            <w:sz w:val="18"/>
            <w:szCs w:val="18"/>
            <w:u w:val="single"/>
          </w:rPr>
          <w:t>jorge.oliva@es.lactalis.com</w:t>
        </w:r>
      </w:hyperlink>
    </w:p>
    <w:p w14:paraId="32D312B9" w14:textId="77777777" w:rsidR="006A56CA" w:rsidRPr="00CD0657" w:rsidRDefault="006A56CA" w:rsidP="00CD0657">
      <w:pPr>
        <w:spacing w:after="0" w:line="240" w:lineRule="auto"/>
        <w:jc w:val="both"/>
        <w:rPr>
          <w:rFonts w:ascii="Rubik" w:eastAsia="Rubik" w:hAnsi="Rubik" w:cs="Rubik"/>
          <w:color w:val="002060"/>
          <w:sz w:val="18"/>
          <w:szCs w:val="18"/>
        </w:rPr>
      </w:pPr>
      <w:r w:rsidRPr="00CD0657">
        <w:rPr>
          <w:rFonts w:ascii="Rubik" w:eastAsia="Rubik" w:hAnsi="Rubik" w:cs="Rubik"/>
          <w:color w:val="002060"/>
          <w:sz w:val="18"/>
          <w:szCs w:val="18"/>
        </w:rPr>
        <w:t>Tel. 689 381 234</w:t>
      </w:r>
    </w:p>
    <w:p w14:paraId="668202D2" w14:textId="77777777" w:rsidR="006A56CA" w:rsidRPr="00CD0657" w:rsidRDefault="006A56CA" w:rsidP="00CD0657">
      <w:pPr>
        <w:spacing w:after="0" w:line="240" w:lineRule="auto"/>
        <w:jc w:val="both"/>
        <w:rPr>
          <w:rFonts w:ascii="Rubik" w:eastAsia="Rubik" w:hAnsi="Rubik" w:cs="Rubik"/>
          <w:b/>
          <w:color w:val="002060"/>
          <w:sz w:val="18"/>
          <w:szCs w:val="18"/>
        </w:rPr>
      </w:pPr>
    </w:p>
    <w:p w14:paraId="24B3144C" w14:textId="77777777" w:rsidR="006A56CA" w:rsidRPr="00CD0657" w:rsidRDefault="006A56CA" w:rsidP="00CD0657">
      <w:pPr>
        <w:spacing w:after="0" w:line="240" w:lineRule="auto"/>
        <w:jc w:val="both"/>
        <w:rPr>
          <w:rFonts w:ascii="Rubik" w:eastAsia="Rubik" w:hAnsi="Rubik" w:cs="Rubik"/>
          <w:b/>
          <w:color w:val="002060"/>
          <w:sz w:val="18"/>
          <w:szCs w:val="18"/>
        </w:rPr>
      </w:pPr>
      <w:r w:rsidRPr="00CD0657">
        <w:rPr>
          <w:rFonts w:ascii="Rubik" w:eastAsia="Rubik" w:hAnsi="Rubik" w:cs="Rubik"/>
          <w:b/>
          <w:color w:val="002060"/>
          <w:sz w:val="18"/>
          <w:szCs w:val="18"/>
        </w:rPr>
        <w:t>Juan Miguel Ramiro</w:t>
      </w:r>
    </w:p>
    <w:p w14:paraId="051E7191" w14:textId="77777777" w:rsidR="006A56CA" w:rsidRPr="00CD0657" w:rsidRDefault="006A56CA" w:rsidP="00CD0657">
      <w:pPr>
        <w:spacing w:after="0" w:line="240" w:lineRule="auto"/>
        <w:jc w:val="both"/>
        <w:rPr>
          <w:rFonts w:ascii="Rubik" w:eastAsia="Rubik" w:hAnsi="Rubik" w:cs="Rubik"/>
          <w:color w:val="002060"/>
          <w:sz w:val="18"/>
          <w:szCs w:val="18"/>
        </w:rPr>
      </w:pPr>
      <w:r w:rsidRPr="00CD0657">
        <w:rPr>
          <w:rFonts w:ascii="Rubik" w:eastAsia="Rubik" w:hAnsi="Rubik" w:cs="Rubik"/>
          <w:color w:val="002060"/>
          <w:sz w:val="18"/>
          <w:szCs w:val="18"/>
        </w:rPr>
        <w:t>Responsable de Comunicación Externa</w:t>
      </w:r>
    </w:p>
    <w:p w14:paraId="7BF785DD" w14:textId="77777777" w:rsidR="006A56CA" w:rsidRPr="00CD0657" w:rsidRDefault="006A56CA" w:rsidP="00CD0657">
      <w:pPr>
        <w:spacing w:after="0" w:line="240" w:lineRule="auto"/>
        <w:jc w:val="both"/>
        <w:rPr>
          <w:rFonts w:ascii="Rubik" w:eastAsia="Rubik" w:hAnsi="Rubik" w:cs="Rubik"/>
          <w:sz w:val="18"/>
          <w:szCs w:val="18"/>
        </w:rPr>
      </w:pPr>
      <w:hyperlink r:id="rId12">
        <w:r w:rsidRPr="00CD0657">
          <w:rPr>
            <w:rFonts w:ascii="Rubik" w:eastAsia="Rubik" w:hAnsi="Rubik" w:cs="Rubik"/>
            <w:color w:val="0000FF"/>
            <w:sz w:val="18"/>
            <w:szCs w:val="18"/>
            <w:u w:val="single"/>
          </w:rPr>
          <w:t>juanmiguel.ramiro@es.lactalis.com</w:t>
        </w:r>
      </w:hyperlink>
    </w:p>
    <w:p w14:paraId="15B8A73B" w14:textId="77777777" w:rsidR="008537BD" w:rsidRPr="00700995" w:rsidRDefault="006A56CA" w:rsidP="008537BD">
      <w:pPr>
        <w:spacing w:after="0" w:line="240" w:lineRule="auto"/>
        <w:jc w:val="both"/>
        <w:rPr>
          <w:rFonts w:ascii="Rubik" w:eastAsia="Rubik" w:hAnsi="Rubik" w:cs="Rubik"/>
          <w:b/>
          <w:color w:val="002060"/>
          <w:sz w:val="18"/>
          <w:szCs w:val="18"/>
        </w:rPr>
      </w:pPr>
      <w:r w:rsidRPr="00CD0657">
        <w:rPr>
          <w:rFonts w:ascii="Rubik" w:eastAsia="Rubik" w:hAnsi="Rubik" w:cs="Rubik"/>
          <w:color w:val="002060"/>
          <w:sz w:val="18"/>
          <w:szCs w:val="18"/>
        </w:rPr>
        <w:t>Tel. 670 865 425</w:t>
      </w:r>
      <w:r w:rsidR="008537BD" w:rsidRPr="00700995">
        <w:rPr>
          <w:rFonts w:ascii="Rubik" w:eastAsia="Rubik" w:hAnsi="Rubik" w:cs="Rubik"/>
          <w:b/>
          <w:color w:val="002060"/>
          <w:sz w:val="18"/>
          <w:szCs w:val="18"/>
        </w:rPr>
        <w:t xml:space="preserve"> </w:t>
      </w:r>
    </w:p>
    <w:p w14:paraId="1D9CEAA4" w14:textId="77777777" w:rsidR="008537BD" w:rsidRPr="00700995" w:rsidRDefault="008537BD" w:rsidP="008537BD">
      <w:pPr>
        <w:spacing w:after="0" w:line="240" w:lineRule="auto"/>
        <w:jc w:val="both"/>
        <w:rPr>
          <w:rFonts w:ascii="Rubik" w:eastAsia="Rubik" w:hAnsi="Rubik" w:cs="Rubik"/>
          <w:b/>
          <w:color w:val="002060"/>
          <w:sz w:val="18"/>
          <w:szCs w:val="18"/>
        </w:rPr>
      </w:pPr>
    </w:p>
    <w:p w14:paraId="5E5BFB88" w14:textId="67F42E31" w:rsidR="008537BD" w:rsidRPr="008537BD" w:rsidRDefault="008537BD" w:rsidP="008537BD">
      <w:pPr>
        <w:spacing w:after="0" w:line="240" w:lineRule="auto"/>
        <w:jc w:val="both"/>
        <w:rPr>
          <w:rFonts w:ascii="Rubik" w:eastAsia="Rubik" w:hAnsi="Rubik" w:cs="Rubik"/>
          <w:b/>
          <w:color w:val="002060"/>
          <w:sz w:val="18"/>
          <w:szCs w:val="18"/>
        </w:rPr>
      </w:pPr>
      <w:r w:rsidRPr="008537BD">
        <w:rPr>
          <w:rFonts w:ascii="Rubik" w:eastAsia="Rubik" w:hAnsi="Rubik" w:cs="Rubik"/>
          <w:b/>
          <w:color w:val="002060"/>
          <w:sz w:val="18"/>
          <w:szCs w:val="18"/>
        </w:rPr>
        <w:t>Valerie Cotté</w:t>
      </w:r>
    </w:p>
    <w:p w14:paraId="09CD7171" w14:textId="77777777" w:rsidR="008537BD" w:rsidRPr="00FB38D5" w:rsidRDefault="008537BD" w:rsidP="008537BD">
      <w:pPr>
        <w:spacing w:after="0" w:line="240" w:lineRule="auto"/>
        <w:jc w:val="both"/>
        <w:rPr>
          <w:rFonts w:ascii="Rubik" w:eastAsia="Rubik" w:hAnsi="Rubik" w:cs="Rubik"/>
          <w:color w:val="002060"/>
          <w:sz w:val="18"/>
          <w:szCs w:val="18"/>
        </w:rPr>
      </w:pPr>
      <w:r w:rsidRPr="00FB38D5">
        <w:rPr>
          <w:rFonts w:ascii="Rubik" w:eastAsia="Rubik" w:hAnsi="Rubik" w:cs="Rubik"/>
          <w:color w:val="002060"/>
          <w:sz w:val="18"/>
          <w:szCs w:val="18"/>
        </w:rPr>
        <w:t>Comunicación &amp; Mkg Relacional</w:t>
      </w:r>
      <w:r>
        <w:rPr>
          <w:rFonts w:ascii="Rubik" w:eastAsia="Rubik" w:hAnsi="Rubik" w:cs="Rubik"/>
          <w:color w:val="002060"/>
          <w:sz w:val="18"/>
          <w:szCs w:val="18"/>
        </w:rPr>
        <w:t xml:space="preserve"> Foodservice</w:t>
      </w:r>
    </w:p>
    <w:p w14:paraId="2985B825" w14:textId="77777777" w:rsidR="008537BD" w:rsidRPr="00700995" w:rsidRDefault="008537BD" w:rsidP="008537BD">
      <w:pPr>
        <w:spacing w:after="0" w:line="240" w:lineRule="auto"/>
        <w:jc w:val="both"/>
        <w:rPr>
          <w:rFonts w:ascii="Rubik" w:hAnsi="Rubik" w:cs="Rubik"/>
        </w:rPr>
      </w:pPr>
      <w:r w:rsidRPr="00700995">
        <w:rPr>
          <w:rFonts w:ascii="Rubik" w:eastAsia="Rubik" w:hAnsi="Rubik" w:cs="Rubik"/>
          <w:color w:val="0000FF"/>
          <w:sz w:val="18"/>
          <w:szCs w:val="18"/>
          <w:u w:val="single"/>
        </w:rPr>
        <w:t>Valerie.cotte@es.lactalis.com</w:t>
      </w:r>
    </w:p>
    <w:p w14:paraId="09F630D9" w14:textId="77777777" w:rsidR="008537BD" w:rsidRDefault="008537BD" w:rsidP="008537BD">
      <w:pPr>
        <w:spacing w:after="0" w:line="240" w:lineRule="auto"/>
        <w:jc w:val="both"/>
        <w:rPr>
          <w:rFonts w:ascii="Rubik" w:eastAsia="Rubik" w:hAnsi="Rubik" w:cs="Rubik"/>
          <w:color w:val="002060"/>
          <w:sz w:val="18"/>
          <w:szCs w:val="18"/>
        </w:rPr>
      </w:pPr>
      <w:r w:rsidRPr="00CD0657">
        <w:rPr>
          <w:rFonts w:ascii="Rubik" w:eastAsia="Rubik" w:hAnsi="Rubik" w:cs="Rubik"/>
          <w:color w:val="002060"/>
          <w:sz w:val="18"/>
          <w:szCs w:val="18"/>
        </w:rPr>
        <w:t xml:space="preserve">Tel. </w:t>
      </w:r>
      <w:r>
        <w:rPr>
          <w:rFonts w:ascii="Rubik" w:eastAsia="Rubik" w:hAnsi="Rubik" w:cs="Rubik"/>
          <w:color w:val="002060"/>
          <w:sz w:val="18"/>
          <w:szCs w:val="18"/>
        </w:rPr>
        <w:t>639 329 083</w:t>
      </w:r>
    </w:p>
    <w:p w14:paraId="1BB6E2C1" w14:textId="77777777" w:rsidR="000916B9" w:rsidRDefault="000916B9" w:rsidP="008537BD">
      <w:pPr>
        <w:spacing w:after="0" w:line="240" w:lineRule="auto"/>
        <w:jc w:val="both"/>
        <w:rPr>
          <w:rFonts w:ascii="Rubik" w:eastAsia="Rubik" w:hAnsi="Rubik" w:cs="Rubik"/>
          <w:color w:val="002060"/>
          <w:sz w:val="18"/>
          <w:szCs w:val="18"/>
        </w:rPr>
      </w:pPr>
    </w:p>
    <w:sectPr w:rsidR="000916B9" w:rsidSect="00282819">
      <w:headerReference w:type="default" r:id="rId13"/>
      <w:pgSz w:w="11906" w:h="16838"/>
      <w:pgMar w:top="1843" w:right="1416" w:bottom="1135" w:left="1418"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C858" w14:textId="77777777" w:rsidR="00456D0A" w:rsidRDefault="00456D0A" w:rsidP="00B65535">
      <w:pPr>
        <w:spacing w:after="0" w:line="240" w:lineRule="auto"/>
      </w:pPr>
      <w:r>
        <w:separator/>
      </w:r>
    </w:p>
  </w:endnote>
  <w:endnote w:type="continuationSeparator" w:id="0">
    <w:p w14:paraId="5141C36D" w14:textId="77777777" w:rsidR="00456D0A" w:rsidRDefault="00456D0A"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9BB9" w14:textId="77777777" w:rsidR="00456D0A" w:rsidRDefault="00456D0A" w:rsidP="00B65535">
      <w:pPr>
        <w:spacing w:after="0" w:line="240" w:lineRule="auto"/>
      </w:pPr>
      <w:r>
        <w:separator/>
      </w:r>
    </w:p>
  </w:footnote>
  <w:footnote w:type="continuationSeparator" w:id="0">
    <w:p w14:paraId="3BA18D9D" w14:textId="77777777" w:rsidR="00456D0A" w:rsidRDefault="00456D0A"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F743" w14:textId="0191D744" w:rsidR="007A0DA5" w:rsidRDefault="00A66F38">
    <w:pPr>
      <w:pStyle w:val="Encabezado"/>
    </w:pPr>
    <w:r w:rsidRPr="00A66F38">
      <w:rPr>
        <w:noProof/>
      </w:rPr>
      <w:drawing>
        <wp:anchor distT="0" distB="0" distL="114300" distR="114300" simplePos="0" relativeHeight="251660288" behindDoc="1" locked="0" layoutInCell="1" allowOverlap="1" wp14:anchorId="52FC0ADE" wp14:editId="1398148F">
          <wp:simplePos x="0" y="0"/>
          <wp:positionH relativeFrom="margin">
            <wp:align>left</wp:align>
          </wp:positionH>
          <wp:positionV relativeFrom="paragraph">
            <wp:posOffset>60960</wp:posOffset>
          </wp:positionV>
          <wp:extent cx="922020" cy="585470"/>
          <wp:effectExtent l="0" t="0" r="0" b="5080"/>
          <wp:wrapTight wrapText="bothSides">
            <wp:wrapPolygon edited="0">
              <wp:start x="0" y="0"/>
              <wp:lineTo x="0" y="21085"/>
              <wp:lineTo x="20975" y="21085"/>
              <wp:lineTo x="20975" y="0"/>
              <wp:lineTo x="0" y="0"/>
            </wp:wrapPolygon>
          </wp:wrapTight>
          <wp:docPr id="3328158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9870" name=""/>
                  <pic:cNvPicPr/>
                </pic:nvPicPr>
                <pic:blipFill>
                  <a:blip r:embed="rId1">
                    <a:extLst>
                      <a:ext uri="{28A0092B-C50C-407E-A947-70E740481C1C}">
                        <a14:useLocalDpi xmlns:a14="http://schemas.microsoft.com/office/drawing/2010/main" val="0"/>
                      </a:ext>
                    </a:extLst>
                  </a:blip>
                  <a:stretch>
                    <a:fillRect/>
                  </a:stretch>
                </pic:blipFill>
                <pic:spPr>
                  <a:xfrm>
                    <a:off x="0" y="0"/>
                    <a:ext cx="922020" cy="585470"/>
                  </a:xfrm>
                  <a:prstGeom prst="rect">
                    <a:avLst/>
                  </a:prstGeom>
                </pic:spPr>
              </pic:pic>
            </a:graphicData>
          </a:graphic>
          <wp14:sizeRelH relativeFrom="page">
            <wp14:pctWidth>0</wp14:pctWidth>
          </wp14:sizeRelH>
          <wp14:sizeRelV relativeFrom="page">
            <wp14:pctHeight>0</wp14:pctHeight>
          </wp14:sizeRelV>
        </wp:anchor>
      </w:drawing>
    </w:r>
    <w:r w:rsidR="007A0DA5">
      <w:rPr>
        <w:noProof/>
      </w:rPr>
      <w:drawing>
        <wp:anchor distT="0" distB="0" distL="114300" distR="114300" simplePos="0" relativeHeight="251659264" behindDoc="1" locked="0" layoutInCell="1" allowOverlap="1" wp14:anchorId="301015CD" wp14:editId="1DA71717">
          <wp:simplePos x="0" y="0"/>
          <wp:positionH relativeFrom="column">
            <wp:posOffset>4235450</wp:posOffset>
          </wp:positionH>
          <wp:positionV relativeFrom="paragraph">
            <wp:posOffset>152400</wp:posOffset>
          </wp:positionV>
          <wp:extent cx="1728470" cy="454660"/>
          <wp:effectExtent l="0" t="0" r="0" b="2540"/>
          <wp:wrapTight wrapText="bothSides">
            <wp:wrapPolygon edited="0">
              <wp:start x="7856" y="0"/>
              <wp:lineTo x="3809" y="1810"/>
              <wp:lineTo x="2619" y="9050"/>
              <wp:lineTo x="3095" y="16291"/>
              <wp:lineTo x="6666" y="20816"/>
              <wp:lineTo x="7856" y="20816"/>
              <wp:lineTo x="13807" y="20816"/>
              <wp:lineTo x="14998" y="20816"/>
              <wp:lineTo x="18331" y="16291"/>
              <wp:lineTo x="18807" y="8145"/>
              <wp:lineTo x="16426" y="905"/>
              <wp:lineTo x="13569" y="0"/>
              <wp:lineTo x="7856" y="0"/>
            </wp:wrapPolygon>
          </wp:wrapTight>
          <wp:docPr id="331243674" name="Imagen 1" descr="Lactalis España, la filial española del Grupo Lacta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ctalis España, la filial española del Grupo Lactal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470" cy="454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D4D"/>
    <w:multiLevelType w:val="multilevel"/>
    <w:tmpl w:val="E8746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B1792"/>
    <w:multiLevelType w:val="multilevel"/>
    <w:tmpl w:val="D736C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D49F2"/>
    <w:multiLevelType w:val="multilevel"/>
    <w:tmpl w:val="1274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9310159"/>
    <w:multiLevelType w:val="multilevel"/>
    <w:tmpl w:val="C5FE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E6035"/>
    <w:multiLevelType w:val="multilevel"/>
    <w:tmpl w:val="5534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F5F6A"/>
    <w:multiLevelType w:val="multilevel"/>
    <w:tmpl w:val="3E10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E7D9C"/>
    <w:multiLevelType w:val="hybridMultilevel"/>
    <w:tmpl w:val="451A4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9C5137F"/>
    <w:multiLevelType w:val="multilevel"/>
    <w:tmpl w:val="5DFE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03747"/>
    <w:multiLevelType w:val="multilevel"/>
    <w:tmpl w:val="DB18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74540"/>
    <w:multiLevelType w:val="hybridMultilevel"/>
    <w:tmpl w:val="272E5C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77F82DDA"/>
    <w:multiLevelType w:val="multilevel"/>
    <w:tmpl w:val="87B2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965656">
    <w:abstractNumId w:val="3"/>
  </w:num>
  <w:num w:numId="2" w16cid:durableId="1818105903">
    <w:abstractNumId w:val="4"/>
  </w:num>
  <w:num w:numId="3" w16cid:durableId="1389110440">
    <w:abstractNumId w:val="5"/>
  </w:num>
  <w:num w:numId="4" w16cid:durableId="514420878">
    <w:abstractNumId w:val="10"/>
  </w:num>
  <w:num w:numId="5" w16cid:durableId="1022050450">
    <w:abstractNumId w:val="1"/>
  </w:num>
  <w:num w:numId="6" w16cid:durableId="334385773">
    <w:abstractNumId w:val="7"/>
  </w:num>
  <w:num w:numId="7" w16cid:durableId="1835754023">
    <w:abstractNumId w:val="8"/>
  </w:num>
  <w:num w:numId="8" w16cid:durableId="1418789895">
    <w:abstractNumId w:val="6"/>
  </w:num>
  <w:num w:numId="9" w16cid:durableId="339963957">
    <w:abstractNumId w:val="0"/>
  </w:num>
  <w:num w:numId="10" w16cid:durableId="533351089">
    <w:abstractNumId w:val="11"/>
  </w:num>
  <w:num w:numId="11" w16cid:durableId="634024184">
    <w:abstractNumId w:val="9"/>
  </w:num>
  <w:num w:numId="12" w16cid:durableId="1928683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0626E"/>
    <w:rsid w:val="000239C6"/>
    <w:rsid w:val="00036548"/>
    <w:rsid w:val="00053709"/>
    <w:rsid w:val="000545EB"/>
    <w:rsid w:val="00055205"/>
    <w:rsid w:val="000701B3"/>
    <w:rsid w:val="00072CD5"/>
    <w:rsid w:val="000733CE"/>
    <w:rsid w:val="0007648E"/>
    <w:rsid w:val="0008248C"/>
    <w:rsid w:val="00084240"/>
    <w:rsid w:val="00086967"/>
    <w:rsid w:val="0008753E"/>
    <w:rsid w:val="000916B9"/>
    <w:rsid w:val="000936E3"/>
    <w:rsid w:val="00093A1C"/>
    <w:rsid w:val="00094BBB"/>
    <w:rsid w:val="0009645A"/>
    <w:rsid w:val="000A126D"/>
    <w:rsid w:val="000A14B0"/>
    <w:rsid w:val="000A25C4"/>
    <w:rsid w:val="000A47F8"/>
    <w:rsid w:val="000A75F3"/>
    <w:rsid w:val="000D32B0"/>
    <w:rsid w:val="000D357B"/>
    <w:rsid w:val="000D76DE"/>
    <w:rsid w:val="000E0010"/>
    <w:rsid w:val="000E51D0"/>
    <w:rsid w:val="000E77AA"/>
    <w:rsid w:val="000F0253"/>
    <w:rsid w:val="000F3934"/>
    <w:rsid w:val="000F55DB"/>
    <w:rsid w:val="0011009C"/>
    <w:rsid w:val="00120A22"/>
    <w:rsid w:val="001222FF"/>
    <w:rsid w:val="00123FF0"/>
    <w:rsid w:val="001324A4"/>
    <w:rsid w:val="00133FAC"/>
    <w:rsid w:val="00135B91"/>
    <w:rsid w:val="001366C0"/>
    <w:rsid w:val="00137B4D"/>
    <w:rsid w:val="00144C53"/>
    <w:rsid w:val="00145EC7"/>
    <w:rsid w:val="001561D7"/>
    <w:rsid w:val="00174ACB"/>
    <w:rsid w:val="00190114"/>
    <w:rsid w:val="00192CB6"/>
    <w:rsid w:val="001972FF"/>
    <w:rsid w:val="001A229B"/>
    <w:rsid w:val="001B070E"/>
    <w:rsid w:val="001B1FA6"/>
    <w:rsid w:val="001B7D73"/>
    <w:rsid w:val="001C4542"/>
    <w:rsid w:val="001E064C"/>
    <w:rsid w:val="001E0DBD"/>
    <w:rsid w:val="001E0E3F"/>
    <w:rsid w:val="001E37C3"/>
    <w:rsid w:val="001E3DAD"/>
    <w:rsid w:val="001F5B87"/>
    <w:rsid w:val="00202C2E"/>
    <w:rsid w:val="00207DBE"/>
    <w:rsid w:val="0021229B"/>
    <w:rsid w:val="0021616B"/>
    <w:rsid w:val="00221709"/>
    <w:rsid w:val="00224564"/>
    <w:rsid w:val="00226E8E"/>
    <w:rsid w:val="00230A36"/>
    <w:rsid w:val="0023479E"/>
    <w:rsid w:val="00235345"/>
    <w:rsid w:val="00236472"/>
    <w:rsid w:val="00243F0B"/>
    <w:rsid w:val="00244B77"/>
    <w:rsid w:val="002504C8"/>
    <w:rsid w:val="0026073B"/>
    <w:rsid w:val="00260CD2"/>
    <w:rsid w:val="0026373E"/>
    <w:rsid w:val="00272694"/>
    <w:rsid w:val="002729E0"/>
    <w:rsid w:val="002738E8"/>
    <w:rsid w:val="0027666D"/>
    <w:rsid w:val="00282819"/>
    <w:rsid w:val="00293E42"/>
    <w:rsid w:val="0029624E"/>
    <w:rsid w:val="00297C72"/>
    <w:rsid w:val="002A0150"/>
    <w:rsid w:val="002A5A0A"/>
    <w:rsid w:val="002B0334"/>
    <w:rsid w:val="002B4230"/>
    <w:rsid w:val="002D545F"/>
    <w:rsid w:val="002E12A0"/>
    <w:rsid w:val="002E561A"/>
    <w:rsid w:val="002E6239"/>
    <w:rsid w:val="002E6308"/>
    <w:rsid w:val="00301B9D"/>
    <w:rsid w:val="0031401B"/>
    <w:rsid w:val="0033241B"/>
    <w:rsid w:val="00340397"/>
    <w:rsid w:val="00344C0F"/>
    <w:rsid w:val="00350178"/>
    <w:rsid w:val="00351E3E"/>
    <w:rsid w:val="00355B45"/>
    <w:rsid w:val="0036745B"/>
    <w:rsid w:val="0037455B"/>
    <w:rsid w:val="0037493B"/>
    <w:rsid w:val="00375F26"/>
    <w:rsid w:val="003768CA"/>
    <w:rsid w:val="003800DE"/>
    <w:rsid w:val="003830DE"/>
    <w:rsid w:val="00395348"/>
    <w:rsid w:val="00395AD8"/>
    <w:rsid w:val="003B21AA"/>
    <w:rsid w:val="003B2F9E"/>
    <w:rsid w:val="003B4470"/>
    <w:rsid w:val="003B75CA"/>
    <w:rsid w:val="003C749C"/>
    <w:rsid w:val="003D03A1"/>
    <w:rsid w:val="003D4DB0"/>
    <w:rsid w:val="003E41D8"/>
    <w:rsid w:val="003E4AA2"/>
    <w:rsid w:val="003E7394"/>
    <w:rsid w:val="003F3F18"/>
    <w:rsid w:val="003F700F"/>
    <w:rsid w:val="00417D54"/>
    <w:rsid w:val="00420DD7"/>
    <w:rsid w:val="00422816"/>
    <w:rsid w:val="00445BD5"/>
    <w:rsid w:val="004515CA"/>
    <w:rsid w:val="004549DF"/>
    <w:rsid w:val="00456D0A"/>
    <w:rsid w:val="00457E5C"/>
    <w:rsid w:val="004604B3"/>
    <w:rsid w:val="00482AF0"/>
    <w:rsid w:val="004A1E10"/>
    <w:rsid w:val="004A622A"/>
    <w:rsid w:val="004B47AF"/>
    <w:rsid w:val="004C52BB"/>
    <w:rsid w:val="004C6A70"/>
    <w:rsid w:val="004D25FD"/>
    <w:rsid w:val="004F1B7A"/>
    <w:rsid w:val="004F2741"/>
    <w:rsid w:val="0050041B"/>
    <w:rsid w:val="0050380A"/>
    <w:rsid w:val="00511DBA"/>
    <w:rsid w:val="0051252E"/>
    <w:rsid w:val="00513516"/>
    <w:rsid w:val="00543968"/>
    <w:rsid w:val="00546FD8"/>
    <w:rsid w:val="00547ABF"/>
    <w:rsid w:val="00554CCC"/>
    <w:rsid w:val="005658DD"/>
    <w:rsid w:val="00566026"/>
    <w:rsid w:val="00566E47"/>
    <w:rsid w:val="00570737"/>
    <w:rsid w:val="0057100B"/>
    <w:rsid w:val="005728B2"/>
    <w:rsid w:val="00573865"/>
    <w:rsid w:val="005838EE"/>
    <w:rsid w:val="00585218"/>
    <w:rsid w:val="00585660"/>
    <w:rsid w:val="005962BB"/>
    <w:rsid w:val="005A5175"/>
    <w:rsid w:val="005A75AA"/>
    <w:rsid w:val="005B3F75"/>
    <w:rsid w:val="005B5235"/>
    <w:rsid w:val="005D510F"/>
    <w:rsid w:val="005E6648"/>
    <w:rsid w:val="005F4589"/>
    <w:rsid w:val="0062224F"/>
    <w:rsid w:val="006236B8"/>
    <w:rsid w:val="00625E7A"/>
    <w:rsid w:val="00626122"/>
    <w:rsid w:val="0063072C"/>
    <w:rsid w:val="0063288E"/>
    <w:rsid w:val="00635047"/>
    <w:rsid w:val="00636A45"/>
    <w:rsid w:val="006567D8"/>
    <w:rsid w:val="00660DEB"/>
    <w:rsid w:val="00662ECA"/>
    <w:rsid w:val="006639CC"/>
    <w:rsid w:val="00666E68"/>
    <w:rsid w:val="006709F2"/>
    <w:rsid w:val="006747DD"/>
    <w:rsid w:val="00685A9B"/>
    <w:rsid w:val="006955CF"/>
    <w:rsid w:val="0069596E"/>
    <w:rsid w:val="00697655"/>
    <w:rsid w:val="006A56CA"/>
    <w:rsid w:val="006A5B25"/>
    <w:rsid w:val="006C23C1"/>
    <w:rsid w:val="006D2BF2"/>
    <w:rsid w:val="006D6E78"/>
    <w:rsid w:val="006D72CC"/>
    <w:rsid w:val="006E01F6"/>
    <w:rsid w:val="006E1047"/>
    <w:rsid w:val="006E66E9"/>
    <w:rsid w:val="00700995"/>
    <w:rsid w:val="00711C5D"/>
    <w:rsid w:val="00711F82"/>
    <w:rsid w:val="00714196"/>
    <w:rsid w:val="00716E54"/>
    <w:rsid w:val="007269F3"/>
    <w:rsid w:val="00733853"/>
    <w:rsid w:val="007339C3"/>
    <w:rsid w:val="00734850"/>
    <w:rsid w:val="00741A44"/>
    <w:rsid w:val="0074241F"/>
    <w:rsid w:val="0074691E"/>
    <w:rsid w:val="00752132"/>
    <w:rsid w:val="007540A3"/>
    <w:rsid w:val="00763411"/>
    <w:rsid w:val="007702CB"/>
    <w:rsid w:val="00772479"/>
    <w:rsid w:val="00774CDC"/>
    <w:rsid w:val="007756B3"/>
    <w:rsid w:val="007800E2"/>
    <w:rsid w:val="007860F3"/>
    <w:rsid w:val="00790AED"/>
    <w:rsid w:val="007A0DA5"/>
    <w:rsid w:val="007A1392"/>
    <w:rsid w:val="007A5BAA"/>
    <w:rsid w:val="007B37A3"/>
    <w:rsid w:val="007B5785"/>
    <w:rsid w:val="007B5FB7"/>
    <w:rsid w:val="007D1647"/>
    <w:rsid w:val="007D3348"/>
    <w:rsid w:val="007D3902"/>
    <w:rsid w:val="007D5A1A"/>
    <w:rsid w:val="007D60EB"/>
    <w:rsid w:val="007D71CA"/>
    <w:rsid w:val="007E1A4C"/>
    <w:rsid w:val="007E2A98"/>
    <w:rsid w:val="007F0723"/>
    <w:rsid w:val="0080285F"/>
    <w:rsid w:val="008155BD"/>
    <w:rsid w:val="008321E4"/>
    <w:rsid w:val="00832D8B"/>
    <w:rsid w:val="008338C7"/>
    <w:rsid w:val="008459BE"/>
    <w:rsid w:val="008537BD"/>
    <w:rsid w:val="00866A14"/>
    <w:rsid w:val="0087423B"/>
    <w:rsid w:val="00890EBE"/>
    <w:rsid w:val="008A3DB6"/>
    <w:rsid w:val="008A42E9"/>
    <w:rsid w:val="008A6585"/>
    <w:rsid w:val="008B1D32"/>
    <w:rsid w:val="008C3CE7"/>
    <w:rsid w:val="008E3138"/>
    <w:rsid w:val="008F17A1"/>
    <w:rsid w:val="008F1E00"/>
    <w:rsid w:val="008F2902"/>
    <w:rsid w:val="008F58A5"/>
    <w:rsid w:val="008F7815"/>
    <w:rsid w:val="00904140"/>
    <w:rsid w:val="009073E9"/>
    <w:rsid w:val="00911268"/>
    <w:rsid w:val="0091127A"/>
    <w:rsid w:val="00913B0B"/>
    <w:rsid w:val="00922B08"/>
    <w:rsid w:val="00933C7E"/>
    <w:rsid w:val="00933F32"/>
    <w:rsid w:val="00934BF6"/>
    <w:rsid w:val="009363EF"/>
    <w:rsid w:val="00936411"/>
    <w:rsid w:val="00936FC3"/>
    <w:rsid w:val="009513A3"/>
    <w:rsid w:val="00966E0F"/>
    <w:rsid w:val="00983381"/>
    <w:rsid w:val="00985C7E"/>
    <w:rsid w:val="00987C25"/>
    <w:rsid w:val="009909C0"/>
    <w:rsid w:val="00994596"/>
    <w:rsid w:val="009A78A0"/>
    <w:rsid w:val="009C2467"/>
    <w:rsid w:val="009D10A7"/>
    <w:rsid w:val="009D4CCE"/>
    <w:rsid w:val="009D7D2D"/>
    <w:rsid w:val="009E35AB"/>
    <w:rsid w:val="009E7AEC"/>
    <w:rsid w:val="009F4512"/>
    <w:rsid w:val="00A0152A"/>
    <w:rsid w:val="00A10503"/>
    <w:rsid w:val="00A125E2"/>
    <w:rsid w:val="00A1424B"/>
    <w:rsid w:val="00A34C38"/>
    <w:rsid w:val="00A37DFB"/>
    <w:rsid w:val="00A4189F"/>
    <w:rsid w:val="00A41D34"/>
    <w:rsid w:val="00A504D5"/>
    <w:rsid w:val="00A54916"/>
    <w:rsid w:val="00A56121"/>
    <w:rsid w:val="00A62258"/>
    <w:rsid w:val="00A6524E"/>
    <w:rsid w:val="00A66F38"/>
    <w:rsid w:val="00A70580"/>
    <w:rsid w:val="00A81576"/>
    <w:rsid w:val="00A84998"/>
    <w:rsid w:val="00A84F3F"/>
    <w:rsid w:val="00A925E1"/>
    <w:rsid w:val="00A96A18"/>
    <w:rsid w:val="00AC0481"/>
    <w:rsid w:val="00AC4586"/>
    <w:rsid w:val="00AC53DE"/>
    <w:rsid w:val="00AD0466"/>
    <w:rsid w:val="00AD4448"/>
    <w:rsid w:val="00B070E9"/>
    <w:rsid w:val="00B107BE"/>
    <w:rsid w:val="00B13A9B"/>
    <w:rsid w:val="00B13C20"/>
    <w:rsid w:val="00B14FC3"/>
    <w:rsid w:val="00B227B1"/>
    <w:rsid w:val="00B35720"/>
    <w:rsid w:val="00B36629"/>
    <w:rsid w:val="00B36A57"/>
    <w:rsid w:val="00B42972"/>
    <w:rsid w:val="00B51E6F"/>
    <w:rsid w:val="00B52727"/>
    <w:rsid w:val="00B571CC"/>
    <w:rsid w:val="00B6024B"/>
    <w:rsid w:val="00B6117B"/>
    <w:rsid w:val="00B65535"/>
    <w:rsid w:val="00B70A8F"/>
    <w:rsid w:val="00B72083"/>
    <w:rsid w:val="00B84454"/>
    <w:rsid w:val="00B84501"/>
    <w:rsid w:val="00B84699"/>
    <w:rsid w:val="00B86C3E"/>
    <w:rsid w:val="00B90FF0"/>
    <w:rsid w:val="00B9346A"/>
    <w:rsid w:val="00B96920"/>
    <w:rsid w:val="00BA4252"/>
    <w:rsid w:val="00BC1FE7"/>
    <w:rsid w:val="00BC5821"/>
    <w:rsid w:val="00BC64CC"/>
    <w:rsid w:val="00BD6AFA"/>
    <w:rsid w:val="00BD7F91"/>
    <w:rsid w:val="00BE3479"/>
    <w:rsid w:val="00BE38D9"/>
    <w:rsid w:val="00BF38CD"/>
    <w:rsid w:val="00C046BE"/>
    <w:rsid w:val="00C16250"/>
    <w:rsid w:val="00C2398B"/>
    <w:rsid w:val="00C25541"/>
    <w:rsid w:val="00C31896"/>
    <w:rsid w:val="00C40E84"/>
    <w:rsid w:val="00C44C83"/>
    <w:rsid w:val="00C50AF6"/>
    <w:rsid w:val="00C62478"/>
    <w:rsid w:val="00C92129"/>
    <w:rsid w:val="00C929E3"/>
    <w:rsid w:val="00C94F20"/>
    <w:rsid w:val="00C9589C"/>
    <w:rsid w:val="00CA7929"/>
    <w:rsid w:val="00CB1D4E"/>
    <w:rsid w:val="00CB784A"/>
    <w:rsid w:val="00CC6CED"/>
    <w:rsid w:val="00CD05AE"/>
    <w:rsid w:val="00CD0657"/>
    <w:rsid w:val="00CD2CDF"/>
    <w:rsid w:val="00CD4B1F"/>
    <w:rsid w:val="00CE2C31"/>
    <w:rsid w:val="00CE6657"/>
    <w:rsid w:val="00CE6D4D"/>
    <w:rsid w:val="00CF0E63"/>
    <w:rsid w:val="00CF55B3"/>
    <w:rsid w:val="00CF562C"/>
    <w:rsid w:val="00D032D6"/>
    <w:rsid w:val="00D033AC"/>
    <w:rsid w:val="00D0638A"/>
    <w:rsid w:val="00D1618D"/>
    <w:rsid w:val="00D2128F"/>
    <w:rsid w:val="00D21F26"/>
    <w:rsid w:val="00D26621"/>
    <w:rsid w:val="00D34165"/>
    <w:rsid w:val="00D42A99"/>
    <w:rsid w:val="00D44534"/>
    <w:rsid w:val="00D47A90"/>
    <w:rsid w:val="00D528AA"/>
    <w:rsid w:val="00D60327"/>
    <w:rsid w:val="00D67DD2"/>
    <w:rsid w:val="00D719A7"/>
    <w:rsid w:val="00D80E4B"/>
    <w:rsid w:val="00D82CDE"/>
    <w:rsid w:val="00D83A22"/>
    <w:rsid w:val="00D87934"/>
    <w:rsid w:val="00D879B0"/>
    <w:rsid w:val="00D956B4"/>
    <w:rsid w:val="00D972F4"/>
    <w:rsid w:val="00DA7FDA"/>
    <w:rsid w:val="00DB3BA3"/>
    <w:rsid w:val="00DB3F04"/>
    <w:rsid w:val="00DD6F2A"/>
    <w:rsid w:val="00DE5ABD"/>
    <w:rsid w:val="00DF10C4"/>
    <w:rsid w:val="00DF1783"/>
    <w:rsid w:val="00DF4190"/>
    <w:rsid w:val="00E06C80"/>
    <w:rsid w:val="00E07B83"/>
    <w:rsid w:val="00E20F60"/>
    <w:rsid w:val="00E35874"/>
    <w:rsid w:val="00E417DD"/>
    <w:rsid w:val="00E457DB"/>
    <w:rsid w:val="00E458E3"/>
    <w:rsid w:val="00E53414"/>
    <w:rsid w:val="00E62FC5"/>
    <w:rsid w:val="00E67726"/>
    <w:rsid w:val="00E72701"/>
    <w:rsid w:val="00E73B43"/>
    <w:rsid w:val="00E74866"/>
    <w:rsid w:val="00E75517"/>
    <w:rsid w:val="00E815DE"/>
    <w:rsid w:val="00E81A91"/>
    <w:rsid w:val="00E9318C"/>
    <w:rsid w:val="00EA5392"/>
    <w:rsid w:val="00EB242B"/>
    <w:rsid w:val="00EC6F13"/>
    <w:rsid w:val="00EC70A0"/>
    <w:rsid w:val="00EE265F"/>
    <w:rsid w:val="00EE403F"/>
    <w:rsid w:val="00EE5DBE"/>
    <w:rsid w:val="00EF7C12"/>
    <w:rsid w:val="00F004A5"/>
    <w:rsid w:val="00F073D4"/>
    <w:rsid w:val="00F142FD"/>
    <w:rsid w:val="00F160E9"/>
    <w:rsid w:val="00F203B9"/>
    <w:rsid w:val="00F26D98"/>
    <w:rsid w:val="00F346AB"/>
    <w:rsid w:val="00F46A93"/>
    <w:rsid w:val="00F70989"/>
    <w:rsid w:val="00F80D04"/>
    <w:rsid w:val="00F85EE0"/>
    <w:rsid w:val="00F90A3A"/>
    <w:rsid w:val="00F90B05"/>
    <w:rsid w:val="00F9368A"/>
    <w:rsid w:val="00F96363"/>
    <w:rsid w:val="00FA14BF"/>
    <w:rsid w:val="00FB38D5"/>
    <w:rsid w:val="00FB5915"/>
    <w:rsid w:val="00FB643C"/>
    <w:rsid w:val="00FC7B77"/>
    <w:rsid w:val="00FD59A5"/>
    <w:rsid w:val="00FE28DB"/>
    <w:rsid w:val="00FE3A5A"/>
    <w:rsid w:val="00FF468D"/>
    <w:rsid w:val="00FF5635"/>
    <w:rsid w:val="00FF7EB4"/>
    <w:rsid w:val="3896B460"/>
    <w:rsid w:val="3F7BCF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paragraph" w:styleId="Ttulo1">
    <w:name w:val="heading 1"/>
    <w:basedOn w:val="Normal"/>
    <w:link w:val="Ttulo1Car"/>
    <w:uiPriority w:val="9"/>
    <w:qFormat/>
    <w:rsid w:val="001E0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E0DB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F80D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F45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paragraph" w:styleId="Textonotaalfinal">
    <w:name w:val="endnote text"/>
    <w:basedOn w:val="Normal"/>
    <w:link w:val="TextonotaalfinalCar"/>
    <w:uiPriority w:val="99"/>
    <w:semiHidden/>
    <w:unhideWhenUsed/>
    <w:rsid w:val="006E104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1047"/>
    <w:rPr>
      <w:sz w:val="20"/>
      <w:szCs w:val="20"/>
    </w:rPr>
  </w:style>
  <w:style w:type="character" w:styleId="Refdenotaalfinal">
    <w:name w:val="endnote reference"/>
    <w:basedOn w:val="Fuentedeprrafopredeter"/>
    <w:uiPriority w:val="99"/>
    <w:semiHidden/>
    <w:unhideWhenUsed/>
    <w:rsid w:val="006E1047"/>
    <w:rPr>
      <w:vertAlign w:val="superscript"/>
    </w:rPr>
  </w:style>
  <w:style w:type="paragraph" w:styleId="Textonotapie">
    <w:name w:val="footnote text"/>
    <w:basedOn w:val="Normal"/>
    <w:link w:val="TextonotapieCar"/>
    <w:uiPriority w:val="99"/>
    <w:semiHidden/>
    <w:unhideWhenUsed/>
    <w:rsid w:val="006E10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E1047"/>
    <w:rPr>
      <w:sz w:val="20"/>
      <w:szCs w:val="20"/>
    </w:rPr>
  </w:style>
  <w:style w:type="character" w:styleId="Refdenotaalpie">
    <w:name w:val="footnote reference"/>
    <w:basedOn w:val="Fuentedeprrafopredeter"/>
    <w:uiPriority w:val="99"/>
    <w:semiHidden/>
    <w:unhideWhenUsed/>
    <w:rsid w:val="006E1047"/>
    <w:rPr>
      <w:vertAlign w:val="superscript"/>
    </w:rPr>
  </w:style>
  <w:style w:type="character" w:styleId="Mencinsinresolver">
    <w:name w:val="Unresolved Mention"/>
    <w:basedOn w:val="Fuentedeprrafopredeter"/>
    <w:uiPriority w:val="99"/>
    <w:semiHidden/>
    <w:unhideWhenUsed/>
    <w:rsid w:val="00987C25"/>
    <w:rPr>
      <w:color w:val="605E5C"/>
      <w:shd w:val="clear" w:color="auto" w:fill="E1DFDD"/>
    </w:rPr>
  </w:style>
  <w:style w:type="character" w:customStyle="1" w:styleId="Ttulo1Car">
    <w:name w:val="Título 1 Car"/>
    <w:basedOn w:val="Fuentedeprrafopredeter"/>
    <w:link w:val="Ttulo1"/>
    <w:uiPriority w:val="9"/>
    <w:rsid w:val="001E0DB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E0DBD"/>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1E0DB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1E0DBD"/>
    <w:rPr>
      <w:b/>
      <w:bCs/>
    </w:rPr>
  </w:style>
  <w:style w:type="character" w:styleId="nfasis">
    <w:name w:val="Emphasis"/>
    <w:basedOn w:val="Fuentedeprrafopredeter"/>
    <w:uiPriority w:val="20"/>
    <w:qFormat/>
    <w:rsid w:val="001E0DBD"/>
    <w:rPr>
      <w:i/>
      <w:iCs/>
    </w:rPr>
  </w:style>
  <w:style w:type="character" w:customStyle="1" w:styleId="Ttulo4Car">
    <w:name w:val="Título 4 Car"/>
    <w:basedOn w:val="Fuentedeprrafopredeter"/>
    <w:link w:val="Ttulo4"/>
    <w:uiPriority w:val="9"/>
    <w:semiHidden/>
    <w:rsid w:val="009F4512"/>
    <w:rPr>
      <w:rFonts w:asciiTheme="majorHAnsi" w:eastAsiaTheme="majorEastAsia" w:hAnsiTheme="majorHAnsi" w:cstheme="majorBidi"/>
      <w:i/>
      <w:iCs/>
      <w:color w:val="2E74B5" w:themeColor="accent1" w:themeShade="BF"/>
    </w:rPr>
  </w:style>
  <w:style w:type="character" w:customStyle="1" w:styleId="Ttulo3Car">
    <w:name w:val="Título 3 Car"/>
    <w:basedOn w:val="Fuentedeprrafopredeter"/>
    <w:link w:val="Ttulo3"/>
    <w:uiPriority w:val="9"/>
    <w:semiHidden/>
    <w:rsid w:val="00F80D0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anmiguel.ramiro@es.lactali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rge.oliva@es.lactali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actalis.es" TargetMode="External"/><Relationship Id="rId4" Type="http://schemas.openxmlformats.org/officeDocument/2006/relationships/settings" Target="settings.xml"/><Relationship Id="rId9" Type="http://schemas.openxmlformats.org/officeDocument/2006/relationships/hyperlink" Target="http://www.lactalisfoodservic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37130-5907-465D-8707-B591EAAB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1053</Words>
  <Characters>5797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SANCHEZ Lucia, Madrid</dc:creator>
  <cp:lastModifiedBy>COTTE Valerie</cp:lastModifiedBy>
  <cp:revision>36</cp:revision>
  <cp:lastPrinted>2017-04-25T10:58:00Z</cp:lastPrinted>
  <dcterms:created xsi:type="dcterms:W3CDTF">2026-03-22T17:55:00Z</dcterms:created>
  <dcterms:modified xsi:type="dcterms:W3CDTF">2026-04-09T11:19:00Z</dcterms:modified>
</cp:coreProperties>
</file>