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center"/>
        <w:rPr>
          <w:rFonts w:ascii="Montserrat" w:cs="Montserrat" w:eastAsia="Montserrat" w:hAnsi="Montserrat"/>
          <w:b w:val="1"/>
          <w:bCs w:val="1"/>
          <w:color w:val="e30513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40"/>
          <w:szCs w:val="40"/>
          <w:rtl w:val="0"/>
        </w:rPr>
        <w:t xml:space="preserve">Dia apuesta por el emprendimiento joven con un 50% de sus franquiciados menores de 45 años</w:t>
      </w:r>
    </w:p>
    <w:p w:rsidR="00000000" w:rsidDel="00000000" w:rsidP="00000000" w:rsidRDefault="00000000" w:rsidRPr="00000000" w14:paraId="000000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Las franquicias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Dia representan ya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68% de su red a nivel nacional,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con más de 1.500 establecimientos en toda España, que generan más de 11.000 empleos.</w:t>
      </w:r>
    </w:p>
    <w:p w:rsidR="00000000" w:rsidDel="00000000" w:rsidP="00000000" w:rsidRDefault="00000000" w:rsidRPr="00000000" w14:paraId="0000000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En cuanto al perfil de sus franquiciados, cerca de la mitad pertenecen a la generación Millennial (menores de 45 años), les sigue la Generación X (entre 45 y 65 años), que concentra más del 40% del total. </w:t>
      </w:r>
    </w:p>
    <w:p w:rsidR="00000000" w:rsidDel="00000000" w:rsidP="00000000" w:rsidRDefault="00000000" w:rsidRPr="00000000" w14:paraId="0000000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El 50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% de las franquicias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Dia están lideradas por mujeres y el 30% se ubica en municipios de baja densidad poblacional, contribuyendo a dinamizar las comunidades locales y a impulsar el emprendimiento femenino.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14 de abril de 2026,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highlight w:val="white"/>
          <w:rtl w:val="0"/>
        </w:rPr>
        <w:t xml:space="preserve">Las Rozas de Madrid.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Cada vez son más las personas que optan por emprender y, ante los retos que implica iniciar un negocio propio, el modelo de franquicia se consolida como una alternativa sólida y con menor incertidumbre, especialmente cuando se desarrolla bajo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el respaldo de una compañía de referencia como Dia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. Este crecimiento no responde a un fenómeno puntual, sino a una tendencia estructural. En España, la intención emprendedora ha mostrado una evolución positiva desde 2024, según el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u w:val="single"/>
            <w:rtl w:val="0"/>
          </w:rPr>
          <w:t xml:space="preserve">Informe GEM España 2024-2025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que destaca especialmente el impulso entre las personas de entre 35 y 44 años. </w:t>
      </w:r>
    </w:p>
    <w:p w:rsidR="00000000" w:rsidDel="00000000" w:rsidP="00000000" w:rsidRDefault="00000000" w:rsidRPr="00000000" w14:paraId="0000000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línea con esta tendencia, cada vez más profesionales optan por iniciar su propio negocio apoyándose en modelos consolidados y en marcas con experiencia, capaces de ofrecer acompañamiento, conocimiento del mercado y una propuesta de valor diferencial, como es en el caso de Dia. Con más de 35 años de experiencia como franquiciadora, la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compañía se ha consolidado como una de las empresas líderes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número de franquiciados en el sector de la distribución alimentaria en España. El modelo de franquicia es un pilar estratégico dentro de su negocio y actualmente representa el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68%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de su red de tiendas,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con más de 1.500 establecimientos en todo el país, que generan más de 11.000 empleos.</w:t>
      </w:r>
    </w:p>
    <w:p w:rsidR="00000000" w:rsidDel="00000000" w:rsidP="00000000" w:rsidRDefault="00000000" w:rsidRPr="00000000" w14:paraId="0000000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cuanto al perfil de sus franquiciados,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cerca de la mitad pertenecen a la generación Millennial (menores de 45 años), lo que refleja la capacidad de la compañía para atraer a una nueva generación de emprendedores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alineados con sus valores y objetivos. Les sigue la Generación X (entre 45 y 65 años), que concentra más del 40% del total, mientras que la Generación Z y los Baby Boomers tienen una representación menor.</w:t>
      </w:r>
    </w:p>
    <w:p w:rsidR="00000000" w:rsidDel="00000000" w:rsidP="00000000" w:rsidRDefault="00000000" w:rsidRPr="00000000" w14:paraId="0000000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Proximidad y dinamización de la economía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Las franquicias desempeñan un papel fundamental en el modelo de negocio de Dia, como palanca clave para impulsar su modelo de proximidad y seguir ampliando su capilaridad, acercando a más clientes una compra fácil, sencilla y completa. En línea con su Plan Estratégico 2025-2029, la compañía ha continuado reforzando este modelo con la apertura de más de 70 nuevas franquicias en el último año, consolidando su presencia en todo el territorio.</w:t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Este despliegue es posible gracias al papel de los franquiciados, que actúan como socios estratégicos para llevar el modelo de Dia allí donde otros no llegan. De hecho,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30% de las tiendas de la compañía se ubican en municipios de baja densidad poblacional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contribuyendo a dinamizar las comunidades locales y a impulsar el emprendimiento en estos entornos.</w:t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rtl w:val="0"/>
        </w:rPr>
        <w:t xml:space="preserve">Emprendimiento femenino y un sólido modelo de colaboración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b w:val="1"/>
          <w:bCs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El modelo de franquicia de Dia se apoya en una organización ágil y eficiente, que favorece una comunicación fluida entre equipos y un acompañamiento cercano en la gestión diaria de la tienda. La solidez de este enfoque se refleja en la evolución de su red: actualmente,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uno de cada tres franquiciados gestiona más de un establecimiento, que representan cerca del 30% de la red.</w:t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De hecho,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54% de los franquiciados de Dia son mujeres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en total cerca de 550 emprendedoras que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 gestionan cerca del 50% de las franquicias de Dia en España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. De ellas,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más de un centenar son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multifranquiciadas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, gestionando dos o más establecimientos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, lo que pone de manifiesto la confianza en un modelo que impulsa el crecimiento, la escalabilidad y la consolidación de proyectos empresariales a largo plazo.</w:t>
      </w:r>
    </w:p>
    <w:p w:rsidR="00000000" w:rsidDel="00000000" w:rsidP="00000000" w:rsidRDefault="00000000" w:rsidRPr="00000000" w14:paraId="0000001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Este desarrollo es reflejo del éxito del modelo de partnership de Dia, orientado a fortalecer la relación con sus franquiciados e impulsar su rentabilidad. En esta línea, la compañía refuerza este acompañamiento a través de iniciativas como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Campus Dia,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su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entidad organizadora que da servicio formativo a los franquiciados y sus equipos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rtl w:val="0"/>
        </w:rPr>
        <w:t xml:space="preserve">donde ya se han impartido más de 290.000 horas de formación 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en ámbitos como liderazgo, gestión de equipos, operativa de tienda, atención al cliente y planificación.</w:t>
      </w:r>
    </w:p>
    <w:p w:rsidR="00000000" w:rsidDel="00000000" w:rsidP="00000000" w:rsidRDefault="00000000" w:rsidRPr="00000000" w14:paraId="0000001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right="-30"/>
        <w:jc w:val="both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ind w:right="-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ind w:right="-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supermercados de proximidad con más de 3.350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7.076 millones en 2025. Somos una de las 100 empresas con mejor reputación en España y Argentina según el monitor empresarial MERCO. Además, nos hemos posicionado como la primera franquiciadora en España y la única en el sector de los supermercados con Certificación FRANQ en Argentina.</w:t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line="240" w:lineRule="auto"/>
        <w:ind w:right="-30"/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</w:t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e30513"/>
          <w:sz w:val="16"/>
          <w:szCs w:val="16"/>
          <w:highlight w:val="white"/>
          <w:rtl w:val="0"/>
        </w:rPr>
        <w:t xml:space="preserve">#CadaDiaMásCerca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Grupo 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line="240" w:lineRule="auto"/>
        <w:ind w:right="-30"/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 Medium" w:cs="Montserrat Medium" w:eastAsia="Montserrat Medium" w:hAnsi="Montserrat Medium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  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bCs w:val="1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Dia España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Raquel González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 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 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+34 655712890 </w:t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right" w:leader="none" w:pos="8504"/>
        </w:tabs>
        <w:spacing w:after="120" w:line="240" w:lineRule="auto"/>
        <w:ind w:right="-3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34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-76198</wp:posOffset>
          </wp:positionH>
          <wp:positionV relativeFrom="page">
            <wp:posOffset>-19048</wp:posOffset>
          </wp:positionV>
          <wp:extent cx="9324975" cy="1271588"/>
          <wp:effectExtent b="0" l="0" r="0" t="0"/>
          <wp:wrapSquare wrapText="bothSides" distB="57150" distT="57150" distL="57150" distR="5715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6145"/>
                  <a:stretch>
                    <a:fillRect/>
                  </a:stretch>
                </pic:blipFill>
                <pic:spPr>
                  <a:xfrm>
                    <a:off x="0" y="0"/>
                    <a:ext cx="9324975" cy="1271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C07B7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C07B7"/>
  </w:style>
  <w:style w:type="paragraph" w:styleId="Piedepgina">
    <w:name w:val="footer"/>
    <w:basedOn w:val="Normal"/>
    <w:link w:val="PiedepginaCar"/>
    <w:uiPriority w:val="99"/>
    <w:unhideWhenUsed w:val="1"/>
    <w:rsid w:val="009C07B7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C07B7"/>
  </w:style>
  <w:style w:type="character" w:styleId="Hipervnculo">
    <w:name w:val="Hyperlink"/>
    <w:basedOn w:val="Fuentedeprrafopredeter"/>
    <w:uiPriority w:val="99"/>
    <w:unhideWhenUsed w:val="1"/>
    <w:rsid w:val="00303C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03C33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2E7E50"/>
    <w:pPr>
      <w:ind w:left="720"/>
      <w:contextualSpacing w:val="1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0088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6010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https://observatoriodelemprendimiento.es/gem-spain/wp-content/uploads/2025/06/GemSpain2024-2025.pdf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mailto:raquel.gonzalez.rodriguez@diagroup.com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RJO0/fTeaAVic1TB4ZtBnBqQ0A==">CgMxLjA4AHIhMW11cWZWYTJIT3RtR09FZWUxYk1lR1lVQ24wd2ttOThH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9030D128C32C4385427C10DE6F9792" ma:contentTypeVersion="12" ma:contentTypeDescription="Crear nuevo documento." ma:contentTypeScope="" ma:versionID="0387d3dc131536b354908b995df9f6b7">
  <xsd:schema xmlns:xsd="http://www.w3.org/2001/XMLSchema" xmlns:xs="http://www.w3.org/2001/XMLSchema" xmlns:p="http://schemas.microsoft.com/office/2006/metadata/properties" xmlns:ns2="70d9e674-ab45-475e-bb34-ca0d4e35161e" targetNamespace="http://schemas.microsoft.com/office/2006/metadata/properties" ma:root="true" ma:fieldsID="9922496213dc5bb3c377e624dc6e3e79" ns2:_="">
    <xsd:import namespace="70d9e674-ab45-475e-bb34-ca0d4e351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ystemTag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e674-ab45-475e-bb34-ca0d4e351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00D5104-089D-447D-97BD-F4D14C13DFA9}"/>
</file>

<file path=customXML/itemProps3.xml><?xml version="1.0" encoding="utf-8"?>
<ds:datastoreItem xmlns:ds="http://schemas.openxmlformats.org/officeDocument/2006/customXml" ds:itemID="{8DC7541E-4036-4A00-BC82-E0C60510926B}"/>
</file>

<file path=customXML/itemProps4.xml><?xml version="1.0" encoding="utf-8"?>
<ds:datastoreItem xmlns:ds="http://schemas.openxmlformats.org/officeDocument/2006/customXml" ds:itemID="{43C7CA97-6F4C-4EBB-920D-BF38430A2C5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Rascón</dc:creator>
  <dcterms:created xsi:type="dcterms:W3CDTF">2026-04-01T13:56:00Z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