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E9E514" w14:textId="0082A4BB" w:rsidR="00075CB9" w:rsidRPr="00075CB9" w:rsidRDefault="00075CB9" w:rsidP="00075CB9">
      <w:pPr>
        <w:pStyle w:val="NormalWeb"/>
        <w:jc w:val="center"/>
        <w:rPr>
          <w:rFonts w:ascii="Calibri" w:hAnsi="Calibri" w:cs="Calibri"/>
          <w:b/>
          <w:bCs/>
          <w:sz w:val="40"/>
          <w:szCs w:val="40"/>
          <w:lang w:val="es-ES_tradnl"/>
        </w:rPr>
      </w:pPr>
      <w:r w:rsidRPr="00075CB9">
        <w:rPr>
          <w:rFonts w:ascii="Calibri" w:hAnsi="Calibri" w:cs="Calibri"/>
          <w:b/>
          <w:bCs/>
          <w:sz w:val="40"/>
          <w:szCs w:val="40"/>
        </w:rPr>
        <w:t>Más allá del panel: el aceite de oliva busca conquistar el paladar del consumidor en el</w:t>
      </w:r>
      <w:r>
        <w:rPr>
          <w:rFonts w:ascii="Calibri" w:hAnsi="Calibri" w:cs="Calibri"/>
          <w:b/>
          <w:bCs/>
          <w:sz w:val="40"/>
          <w:szCs w:val="40"/>
          <w:lang w:val="es-ES_tradnl"/>
        </w:rPr>
        <w:t xml:space="preserve"> </w:t>
      </w:r>
      <w:r w:rsidR="00286536" w:rsidRPr="00701C32">
        <w:rPr>
          <w:rFonts w:asciiTheme="minorHAnsi" w:hAnsiTheme="minorHAnsi" w:cstheme="minorHAnsi"/>
          <w:b/>
          <w:bCs/>
          <w:sz w:val="40"/>
          <w:szCs w:val="40"/>
          <w:lang w:val="es-ES_tradnl"/>
        </w:rPr>
        <w:t xml:space="preserve">OOWC </w:t>
      </w:r>
    </w:p>
    <w:p w14:paraId="39A483ED" w14:textId="25FB23BD" w:rsidR="00286536" w:rsidRPr="00075CB9" w:rsidRDefault="00075CB9">
      <w:pPr>
        <w:pStyle w:val="NormalWeb"/>
        <w:numPr>
          <w:ilvl w:val="0"/>
          <w:numId w:val="16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075CB9">
        <w:rPr>
          <w:rFonts w:ascii="Calibri" w:hAnsi="Calibri" w:cs="Calibri"/>
          <w:b/>
          <w:bCs/>
          <w:sz w:val="22"/>
          <w:szCs w:val="22"/>
          <w:lang w:val="es-ES_tradnl"/>
        </w:rPr>
        <w:t>El análisis sensorial del aceite de oliva vive un momento de transformación. En el Olive Oil World Congress, expertos internacionales abordan</w:t>
      </w:r>
      <w:r w:rsidR="00015C53">
        <w:rPr>
          <w:rFonts w:ascii="Calibri" w:hAnsi="Calibri" w:cs="Calibri"/>
          <w:b/>
          <w:bCs/>
          <w:sz w:val="22"/>
          <w:szCs w:val="22"/>
          <w:lang w:val="es-ES_tradnl"/>
        </w:rPr>
        <w:t xml:space="preserve"> como</w:t>
      </w:r>
      <w:r w:rsidRPr="00075CB9">
        <w:rPr>
          <w:rFonts w:ascii="Calibri" w:hAnsi="Calibri" w:cs="Calibri"/>
          <w:b/>
          <w:bCs/>
          <w:sz w:val="22"/>
          <w:szCs w:val="22"/>
          <w:lang w:val="es-ES_tradnl"/>
        </w:rPr>
        <w:t xml:space="preserve"> </w:t>
      </w:r>
      <w:r w:rsidR="00015C53">
        <w:rPr>
          <w:rFonts w:ascii="Calibri" w:hAnsi="Calibri" w:cs="Calibri"/>
          <w:b/>
          <w:bCs/>
          <w:sz w:val="22"/>
          <w:szCs w:val="22"/>
          <w:lang w:val="es-ES_tradnl"/>
        </w:rPr>
        <w:t xml:space="preserve">el análisis sensorial va más allá del trabajo de los </w:t>
      </w:r>
      <w:r w:rsidRPr="00075CB9">
        <w:rPr>
          <w:rFonts w:ascii="Calibri" w:hAnsi="Calibri" w:cs="Calibri"/>
          <w:b/>
          <w:bCs/>
          <w:sz w:val="22"/>
          <w:szCs w:val="22"/>
          <w:lang w:val="es-ES_tradnl"/>
        </w:rPr>
        <w:t>paneles de cata</w:t>
      </w:r>
      <w:r w:rsidR="00015C53">
        <w:rPr>
          <w:rFonts w:ascii="Calibri" w:hAnsi="Calibri" w:cs="Calibri"/>
          <w:b/>
          <w:bCs/>
          <w:sz w:val="22"/>
          <w:szCs w:val="22"/>
          <w:lang w:val="es-ES_tradnl"/>
        </w:rPr>
        <w:t xml:space="preserve"> de control oficial</w:t>
      </w:r>
      <w:r w:rsidRPr="00075CB9">
        <w:rPr>
          <w:rFonts w:ascii="Calibri" w:hAnsi="Calibri" w:cs="Calibri"/>
          <w:b/>
          <w:bCs/>
          <w:sz w:val="22"/>
          <w:szCs w:val="22"/>
          <w:lang w:val="es-ES_tradnl"/>
        </w:rPr>
        <w:t xml:space="preserve"> </w:t>
      </w:r>
      <w:r w:rsidR="00015C53">
        <w:rPr>
          <w:rFonts w:ascii="Calibri" w:hAnsi="Calibri" w:cs="Calibri"/>
          <w:b/>
          <w:bCs/>
          <w:sz w:val="22"/>
          <w:szCs w:val="22"/>
          <w:lang w:val="es-ES_tradnl"/>
        </w:rPr>
        <w:t xml:space="preserve">y se adapta a </w:t>
      </w:r>
      <w:r w:rsidRPr="00075CB9">
        <w:rPr>
          <w:rFonts w:ascii="Calibri" w:hAnsi="Calibri" w:cs="Calibri"/>
          <w:b/>
          <w:bCs/>
          <w:sz w:val="22"/>
          <w:szCs w:val="22"/>
          <w:lang w:val="es-ES_tradnl"/>
        </w:rPr>
        <w:t>modelos que integran la percepción del consumidor, marcando un cambio de paradigma en la definición de la calidad y acercando la ciencia del aceite a</w:t>
      </w:r>
      <w:r w:rsidR="00015C53">
        <w:rPr>
          <w:rFonts w:ascii="Calibri" w:hAnsi="Calibri" w:cs="Calibri"/>
          <w:b/>
          <w:bCs/>
          <w:sz w:val="22"/>
          <w:szCs w:val="22"/>
          <w:lang w:val="es-ES_tradnl"/>
        </w:rPr>
        <w:t xml:space="preserve"> </w:t>
      </w:r>
      <w:proofErr w:type="spellStart"/>
      <w:r w:rsidR="00015C53">
        <w:rPr>
          <w:rFonts w:ascii="Calibri" w:hAnsi="Calibri" w:cs="Calibri"/>
          <w:b/>
          <w:bCs/>
          <w:sz w:val="22"/>
          <w:szCs w:val="22"/>
          <w:lang w:val="es-ES_tradnl"/>
        </w:rPr>
        <w:t>a</w:t>
      </w:r>
      <w:proofErr w:type="spellEnd"/>
      <w:r w:rsidR="00015C53">
        <w:rPr>
          <w:rFonts w:ascii="Calibri" w:hAnsi="Calibri" w:cs="Calibri"/>
          <w:b/>
          <w:bCs/>
          <w:sz w:val="22"/>
          <w:szCs w:val="22"/>
          <w:lang w:val="es-ES_tradnl"/>
        </w:rPr>
        <w:t xml:space="preserve"> gastronomía y al consumidor.</w:t>
      </w:r>
      <w:r w:rsidRPr="00075CB9">
        <w:rPr>
          <w:rFonts w:ascii="Calibri" w:hAnsi="Calibri" w:cs="Calibri"/>
          <w:b/>
          <w:bCs/>
          <w:sz w:val="22"/>
          <w:szCs w:val="22"/>
          <w:lang w:val="es-ES_tradnl"/>
        </w:rPr>
        <w:t xml:space="preserve"> </w:t>
      </w:r>
    </w:p>
    <w:p w14:paraId="5F390A07" w14:textId="0D3C24EB" w:rsidR="00075CB9" w:rsidRPr="00075CB9" w:rsidRDefault="00286536" w:rsidP="00075CB9">
      <w:pPr>
        <w:pStyle w:val="NormalWeb"/>
        <w:numPr>
          <w:ilvl w:val="0"/>
          <w:numId w:val="15"/>
        </w:numPr>
        <w:jc w:val="both"/>
        <w:rPr>
          <w:rFonts w:ascii="Calibri" w:hAnsi="Calibri" w:cs="Calibri"/>
          <w:b/>
          <w:bCs/>
          <w:sz w:val="22"/>
          <w:szCs w:val="22"/>
        </w:rPr>
      </w:pPr>
      <w:r w:rsidRPr="00075CB9">
        <w:rPr>
          <w:rFonts w:ascii="Calibri" w:hAnsi="Calibri" w:cs="Calibri"/>
          <w:b/>
          <w:bCs/>
          <w:sz w:val="22"/>
          <w:szCs w:val="22"/>
          <w:lang w:val="es-ES_tradnl"/>
        </w:rPr>
        <w:t xml:space="preserve">Expertos de referencia </w:t>
      </w:r>
      <w:r w:rsidR="00075CB9" w:rsidRPr="00075CB9">
        <w:rPr>
          <w:rFonts w:ascii="Calibri" w:hAnsi="Calibri" w:cs="Calibri"/>
          <w:b/>
          <w:bCs/>
          <w:sz w:val="22"/>
          <w:szCs w:val="22"/>
        </w:rPr>
        <w:t>como Plácido Pascual, Susana Mattar, Ana Carrilho, Efi Christopoulou</w:t>
      </w:r>
      <w:r w:rsidR="00075CB9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075CB9" w:rsidRPr="00075CB9">
        <w:rPr>
          <w:rFonts w:ascii="Calibri" w:hAnsi="Calibri" w:cs="Calibri"/>
          <w:b/>
          <w:bCs/>
          <w:sz w:val="22"/>
          <w:szCs w:val="22"/>
        </w:rPr>
        <w:t>y Tullia Gallin</w:t>
      </w:r>
      <w:r w:rsidR="002E5B72">
        <w:rPr>
          <w:rFonts w:ascii="Calibri" w:hAnsi="Calibri" w:cs="Calibri"/>
          <w:b/>
          <w:bCs/>
          <w:sz w:val="22"/>
          <w:szCs w:val="22"/>
        </w:rPr>
        <w:t>a</w:t>
      </w:r>
      <w:r w:rsidR="00075CB9" w:rsidRPr="00075CB9">
        <w:rPr>
          <w:rFonts w:ascii="Calibri" w:hAnsi="Calibri" w:cs="Calibri"/>
          <w:b/>
          <w:bCs/>
          <w:sz w:val="22"/>
          <w:szCs w:val="22"/>
        </w:rPr>
        <w:t xml:space="preserve"> Toschi analizarán los avances en la formación y armonización de paneles de cata, así como la </w:t>
      </w:r>
      <w:r w:rsidR="00015C53">
        <w:rPr>
          <w:rFonts w:ascii="Calibri" w:hAnsi="Calibri" w:cs="Calibri"/>
          <w:b/>
          <w:bCs/>
          <w:sz w:val="22"/>
          <w:szCs w:val="22"/>
        </w:rPr>
        <w:t xml:space="preserve">su adaptación a </w:t>
      </w:r>
      <w:r w:rsidR="00075CB9" w:rsidRPr="00075CB9">
        <w:rPr>
          <w:rFonts w:ascii="Calibri" w:hAnsi="Calibri" w:cs="Calibri"/>
          <w:b/>
          <w:bCs/>
          <w:sz w:val="22"/>
          <w:szCs w:val="22"/>
        </w:rPr>
        <w:t>metodologías hed</w:t>
      </w:r>
      <w:r w:rsidR="00015C53">
        <w:rPr>
          <w:rFonts w:ascii="Calibri" w:hAnsi="Calibri" w:cs="Calibri"/>
          <w:b/>
          <w:bCs/>
          <w:sz w:val="22"/>
          <w:szCs w:val="22"/>
        </w:rPr>
        <w:t>o</w:t>
      </w:r>
      <w:r w:rsidR="00075CB9" w:rsidRPr="00075CB9">
        <w:rPr>
          <w:rFonts w:ascii="Calibri" w:hAnsi="Calibri" w:cs="Calibri"/>
          <w:b/>
          <w:bCs/>
          <w:sz w:val="22"/>
          <w:szCs w:val="22"/>
        </w:rPr>
        <w:t>n</w:t>
      </w:r>
      <w:r w:rsidR="00015C53">
        <w:rPr>
          <w:rFonts w:ascii="Calibri" w:hAnsi="Calibri" w:cs="Calibri"/>
          <w:b/>
          <w:bCs/>
          <w:sz w:val="22"/>
          <w:szCs w:val="22"/>
        </w:rPr>
        <w:t>ísti</w:t>
      </w:r>
      <w:r w:rsidR="00075CB9" w:rsidRPr="00075CB9">
        <w:rPr>
          <w:rFonts w:ascii="Calibri" w:hAnsi="Calibri" w:cs="Calibri"/>
          <w:b/>
          <w:bCs/>
          <w:sz w:val="22"/>
          <w:szCs w:val="22"/>
        </w:rPr>
        <w:t>cas que permiten medir la aceptación del consumidor, abriendo nuevas vías para conectar la evaluación técnica con las preferencias reales del mercado</w:t>
      </w:r>
      <w:r w:rsidR="00015C53">
        <w:rPr>
          <w:rFonts w:ascii="Calibri" w:hAnsi="Calibri" w:cs="Calibri"/>
          <w:b/>
          <w:bCs/>
          <w:sz w:val="22"/>
          <w:szCs w:val="22"/>
        </w:rPr>
        <w:t>.</w:t>
      </w:r>
    </w:p>
    <w:p w14:paraId="2F67E8D4" w14:textId="35436DD3" w:rsidR="00075CB9" w:rsidRPr="00075CB9" w:rsidRDefault="00620542" w:rsidP="00075CB9">
      <w:pPr>
        <w:pStyle w:val="NormalWeb"/>
        <w:jc w:val="both"/>
        <w:rPr>
          <w:rFonts w:ascii="Calibri" w:hAnsi="Calibri" w:cs="Calibri"/>
          <w:sz w:val="22"/>
          <w:szCs w:val="22"/>
        </w:rPr>
      </w:pPr>
      <w:r w:rsidRPr="00075CB9">
        <w:rPr>
          <w:rFonts w:ascii="Calibri" w:hAnsi="Calibri" w:cs="Calibri"/>
          <w:b/>
          <w:bCs/>
          <w:sz w:val="22"/>
          <w:szCs w:val="22"/>
        </w:rPr>
        <w:t xml:space="preserve">Madrid, a </w:t>
      </w:r>
      <w:r w:rsidR="00954F91">
        <w:rPr>
          <w:rFonts w:ascii="Calibri" w:hAnsi="Calibri" w:cs="Calibri"/>
          <w:b/>
          <w:bCs/>
          <w:sz w:val="22"/>
          <w:szCs w:val="22"/>
        </w:rPr>
        <w:t>21</w:t>
      </w:r>
      <w:r w:rsidRPr="00075CB9">
        <w:rPr>
          <w:rFonts w:ascii="Calibri" w:hAnsi="Calibri" w:cs="Calibri"/>
          <w:b/>
          <w:bCs/>
          <w:sz w:val="22"/>
          <w:szCs w:val="22"/>
        </w:rPr>
        <w:t xml:space="preserve"> de </w:t>
      </w:r>
      <w:r w:rsidR="00701C32" w:rsidRPr="00075CB9">
        <w:rPr>
          <w:rFonts w:ascii="Calibri" w:hAnsi="Calibri" w:cs="Calibri"/>
          <w:b/>
          <w:bCs/>
          <w:sz w:val="22"/>
          <w:szCs w:val="22"/>
        </w:rPr>
        <w:t>abril</w:t>
      </w:r>
      <w:r w:rsidRPr="00075CB9">
        <w:rPr>
          <w:rFonts w:ascii="Calibri" w:hAnsi="Calibri" w:cs="Calibri"/>
          <w:b/>
          <w:bCs/>
          <w:sz w:val="22"/>
          <w:szCs w:val="22"/>
        </w:rPr>
        <w:t xml:space="preserve"> de 202</w:t>
      </w:r>
      <w:r w:rsidR="00967344" w:rsidRPr="00075CB9">
        <w:rPr>
          <w:rFonts w:ascii="Calibri" w:hAnsi="Calibri" w:cs="Calibri"/>
          <w:b/>
          <w:bCs/>
          <w:sz w:val="22"/>
          <w:szCs w:val="22"/>
        </w:rPr>
        <w:t>6</w:t>
      </w:r>
      <w:r w:rsidRPr="00075CB9">
        <w:rPr>
          <w:rFonts w:ascii="Calibri" w:hAnsi="Calibri" w:cs="Calibri"/>
          <w:b/>
          <w:bCs/>
          <w:sz w:val="22"/>
          <w:szCs w:val="22"/>
        </w:rPr>
        <w:t>.- </w:t>
      </w:r>
      <w:r w:rsidR="00387386" w:rsidRPr="00075CB9">
        <w:rPr>
          <w:rFonts w:ascii="Calibri" w:hAnsi="Calibri" w:cs="Calibri"/>
          <w:sz w:val="22"/>
          <w:szCs w:val="22"/>
        </w:rPr>
        <w:t xml:space="preserve"> </w:t>
      </w:r>
      <w:r w:rsidR="00075CB9" w:rsidRPr="00075CB9">
        <w:rPr>
          <w:rFonts w:ascii="Calibri" w:hAnsi="Calibri" w:cs="Calibri"/>
          <w:sz w:val="22"/>
          <w:szCs w:val="22"/>
        </w:rPr>
        <w:t xml:space="preserve">Durante décadas, la calidad del aceite de oliva virgen extra se ha definido en </w:t>
      </w:r>
      <w:r w:rsidR="00075CB9" w:rsidRPr="00075CB9">
        <w:rPr>
          <w:rStyle w:val="Fuerte"/>
          <w:rFonts w:ascii="Calibri" w:hAnsi="Calibri" w:cs="Calibri"/>
          <w:sz w:val="22"/>
          <w:szCs w:val="22"/>
        </w:rPr>
        <w:t>entornos altamente controlados</w:t>
      </w:r>
      <w:r w:rsidR="00075CB9" w:rsidRPr="00075CB9">
        <w:rPr>
          <w:rFonts w:ascii="Calibri" w:hAnsi="Calibri" w:cs="Calibri"/>
          <w:sz w:val="22"/>
          <w:szCs w:val="22"/>
        </w:rPr>
        <w:t xml:space="preserve">, donde paneles de expertos entrenados aplican metodologías rigurosas para evaluar atributos sensoriales con </w:t>
      </w:r>
      <w:r w:rsidR="00075CB9" w:rsidRPr="00075CB9">
        <w:rPr>
          <w:rStyle w:val="Fuerte"/>
          <w:rFonts w:ascii="Calibri" w:hAnsi="Calibri" w:cs="Calibri"/>
          <w:sz w:val="22"/>
          <w:szCs w:val="22"/>
        </w:rPr>
        <w:t>precisión científica</w:t>
      </w:r>
      <w:r w:rsidR="00075CB9" w:rsidRPr="00075CB9">
        <w:rPr>
          <w:rFonts w:ascii="Calibri" w:hAnsi="Calibri" w:cs="Calibri"/>
          <w:sz w:val="22"/>
          <w:szCs w:val="22"/>
        </w:rPr>
        <w:t xml:space="preserve">. Sin embargo, en un mercado cada vez más global, competitivo y orientado al consumidor, este modelo comienza a evolucionar. El </w:t>
      </w:r>
      <w:r w:rsidR="00075CB9" w:rsidRPr="00075CB9">
        <w:rPr>
          <w:rStyle w:val="whitespace-normal"/>
          <w:rFonts w:ascii="Calibri" w:hAnsi="Calibri" w:cs="Calibri"/>
          <w:b/>
          <w:bCs/>
          <w:sz w:val="22"/>
          <w:szCs w:val="22"/>
        </w:rPr>
        <w:t>Olive Oil World Congress</w:t>
      </w:r>
      <w:r w:rsidR="00075CB9" w:rsidRPr="00075CB9">
        <w:rPr>
          <w:rFonts w:ascii="Calibri" w:hAnsi="Calibri" w:cs="Calibri"/>
          <w:b/>
          <w:bCs/>
          <w:sz w:val="22"/>
          <w:szCs w:val="22"/>
        </w:rPr>
        <w:t xml:space="preserve"> (OOWC)</w:t>
      </w:r>
      <w:r w:rsidR="00075CB9" w:rsidRPr="00075CB9">
        <w:rPr>
          <w:rFonts w:ascii="Calibri" w:hAnsi="Calibri" w:cs="Calibri"/>
          <w:sz w:val="22"/>
          <w:szCs w:val="22"/>
        </w:rPr>
        <w:t xml:space="preserve">, que se celebrará los </w:t>
      </w:r>
      <w:r w:rsidR="00075CB9" w:rsidRPr="00075CB9">
        <w:rPr>
          <w:rStyle w:val="Fuerte"/>
          <w:rFonts w:ascii="Calibri" w:hAnsi="Calibri" w:cs="Calibri"/>
          <w:sz w:val="22"/>
          <w:szCs w:val="22"/>
        </w:rPr>
        <w:t>2 y 3 de julio de 2026 en el Centro Cultural de Belém de Lisboa</w:t>
      </w:r>
      <w:r w:rsidR="00075CB9" w:rsidRPr="00075CB9">
        <w:rPr>
          <w:rFonts w:ascii="Calibri" w:hAnsi="Calibri" w:cs="Calibri"/>
          <w:sz w:val="22"/>
          <w:szCs w:val="22"/>
        </w:rPr>
        <w:t xml:space="preserve">, se convierte en el escenario donde esa transformación cobra forma: </w:t>
      </w:r>
      <w:r w:rsidR="00075CB9" w:rsidRPr="00075CB9">
        <w:rPr>
          <w:rStyle w:val="Fuerte"/>
          <w:rFonts w:ascii="Calibri" w:hAnsi="Calibri" w:cs="Calibri"/>
          <w:sz w:val="22"/>
          <w:szCs w:val="22"/>
        </w:rPr>
        <w:t>el análisis sensorial ya no se limita al laboratorio, sino que se proyecta hacia el paladar del consumidor</w:t>
      </w:r>
      <w:r w:rsidR="00075CB9" w:rsidRPr="00075CB9">
        <w:rPr>
          <w:rFonts w:ascii="Calibri" w:hAnsi="Calibri" w:cs="Calibri"/>
          <w:sz w:val="22"/>
          <w:szCs w:val="22"/>
        </w:rPr>
        <w:t>.</w:t>
      </w:r>
    </w:p>
    <w:p w14:paraId="405BD446" w14:textId="43115426" w:rsidR="00075CB9" w:rsidRPr="00075CB9" w:rsidRDefault="00075CB9" w:rsidP="00075CB9">
      <w:pPr>
        <w:pStyle w:val="NormalWeb"/>
        <w:jc w:val="both"/>
        <w:rPr>
          <w:rFonts w:ascii="Calibri" w:hAnsi="Calibri" w:cs="Calibri"/>
          <w:sz w:val="22"/>
          <w:szCs w:val="22"/>
        </w:rPr>
      </w:pPr>
      <w:r w:rsidRPr="00075CB9">
        <w:rPr>
          <w:rFonts w:ascii="Calibri" w:hAnsi="Calibri" w:cs="Calibri"/>
          <w:sz w:val="22"/>
          <w:szCs w:val="22"/>
        </w:rPr>
        <w:t xml:space="preserve">El bloque dedicado a los últimos avances en análisis sensorial reúne a destacados especialistas internacionales en la mesa redonda </w:t>
      </w:r>
      <w:r w:rsidRPr="00075CB9">
        <w:rPr>
          <w:rStyle w:val="nfasis"/>
          <w:rFonts w:ascii="Calibri" w:hAnsi="Calibri" w:cs="Calibri"/>
          <w:sz w:val="22"/>
          <w:szCs w:val="22"/>
        </w:rPr>
        <w:t>“Latest advances in VOO sensory analysis”</w:t>
      </w:r>
      <w:r w:rsidRPr="00075CB9">
        <w:rPr>
          <w:rFonts w:ascii="Calibri" w:hAnsi="Calibri" w:cs="Calibri"/>
          <w:sz w:val="22"/>
          <w:szCs w:val="22"/>
        </w:rPr>
        <w:t xml:space="preserve">. Participan </w:t>
      </w:r>
      <w:r w:rsidRPr="00075CB9">
        <w:rPr>
          <w:rStyle w:val="whitespace-normal"/>
          <w:rFonts w:ascii="Calibri" w:hAnsi="Calibri" w:cs="Calibri"/>
          <w:b/>
          <w:bCs/>
          <w:sz w:val="22"/>
          <w:szCs w:val="22"/>
        </w:rPr>
        <w:t>Plácido Pascual</w:t>
      </w:r>
      <w:r w:rsidRPr="00075CB9">
        <w:rPr>
          <w:rFonts w:ascii="Calibri" w:hAnsi="Calibri" w:cs="Calibri"/>
          <w:sz w:val="22"/>
          <w:szCs w:val="22"/>
        </w:rPr>
        <w:t xml:space="preserve">, </w:t>
      </w:r>
      <w:r w:rsidRPr="00075CB9">
        <w:rPr>
          <w:rFonts w:ascii="Calibri" w:hAnsi="Calibri" w:cs="Calibri"/>
          <w:sz w:val="22"/>
          <w:szCs w:val="22"/>
          <w:lang w:val="es-ES_tradnl"/>
        </w:rPr>
        <w:t>jefe del Panel de Cata de Aceite de Oliva Virgen del Laboratorio Agroalimentario de Córdoba</w:t>
      </w:r>
      <w:r w:rsidR="00015C53">
        <w:rPr>
          <w:rFonts w:ascii="Calibri" w:hAnsi="Calibri" w:cs="Calibri"/>
          <w:sz w:val="22"/>
          <w:szCs w:val="22"/>
          <w:lang w:val="es-ES_tradnl"/>
        </w:rPr>
        <w:t xml:space="preserve"> (España)</w:t>
      </w:r>
      <w:r w:rsidRPr="00075CB9">
        <w:rPr>
          <w:rFonts w:ascii="Calibri" w:hAnsi="Calibri" w:cs="Calibri"/>
          <w:sz w:val="22"/>
          <w:szCs w:val="22"/>
        </w:rPr>
        <w:t xml:space="preserve">; </w:t>
      </w:r>
      <w:r w:rsidRPr="00075CB9">
        <w:rPr>
          <w:rStyle w:val="whitespace-normal"/>
          <w:rFonts w:ascii="Calibri" w:hAnsi="Calibri" w:cs="Calibri"/>
          <w:b/>
          <w:bCs/>
          <w:sz w:val="22"/>
          <w:szCs w:val="22"/>
        </w:rPr>
        <w:t>Susana Mattar</w:t>
      </w:r>
      <w:r w:rsidRPr="00075CB9">
        <w:rPr>
          <w:rFonts w:ascii="Calibri" w:hAnsi="Calibri" w:cs="Calibri"/>
          <w:sz w:val="22"/>
          <w:szCs w:val="22"/>
        </w:rPr>
        <w:t xml:space="preserve">, de la </w:t>
      </w:r>
      <w:r w:rsidRPr="00075CB9">
        <w:rPr>
          <w:rStyle w:val="whitespace-normal"/>
          <w:rFonts w:ascii="Calibri" w:hAnsi="Calibri" w:cs="Calibri"/>
          <w:sz w:val="22"/>
          <w:szCs w:val="22"/>
        </w:rPr>
        <w:t>Universidad Católica de Cuyo</w:t>
      </w:r>
      <w:r w:rsidR="00015C53">
        <w:rPr>
          <w:rStyle w:val="whitespace-normal"/>
          <w:rFonts w:ascii="Calibri" w:hAnsi="Calibri" w:cs="Calibri"/>
          <w:sz w:val="22"/>
          <w:szCs w:val="22"/>
        </w:rPr>
        <w:t xml:space="preserve"> (Argentina)</w:t>
      </w:r>
      <w:r w:rsidRPr="00075CB9">
        <w:rPr>
          <w:rFonts w:ascii="Calibri" w:hAnsi="Calibri" w:cs="Calibri"/>
          <w:sz w:val="22"/>
          <w:szCs w:val="22"/>
        </w:rPr>
        <w:t xml:space="preserve">;; </w:t>
      </w:r>
      <w:r w:rsidRPr="00075CB9">
        <w:rPr>
          <w:rStyle w:val="whitespace-normal"/>
          <w:rFonts w:ascii="Calibri" w:hAnsi="Calibri" w:cs="Calibri"/>
          <w:b/>
          <w:bCs/>
          <w:sz w:val="22"/>
          <w:szCs w:val="22"/>
        </w:rPr>
        <w:t>Ana Carrilho</w:t>
      </w:r>
      <w:r w:rsidRPr="00075CB9">
        <w:rPr>
          <w:rFonts w:ascii="Calibri" w:hAnsi="Calibri" w:cs="Calibri"/>
          <w:sz w:val="22"/>
          <w:szCs w:val="22"/>
        </w:rPr>
        <w:t xml:space="preserve">, de la </w:t>
      </w:r>
      <w:r w:rsidRPr="00075CB9">
        <w:rPr>
          <w:rStyle w:val="whitespace-normal"/>
          <w:rFonts w:ascii="Calibri" w:hAnsi="Calibri" w:cs="Calibri"/>
          <w:sz w:val="22"/>
          <w:szCs w:val="22"/>
        </w:rPr>
        <w:t>Universidad de Lisboa</w:t>
      </w:r>
      <w:r w:rsidR="00015C53">
        <w:rPr>
          <w:rStyle w:val="whitespace-normal"/>
          <w:rFonts w:ascii="Calibri" w:hAnsi="Calibri" w:cs="Calibri"/>
          <w:sz w:val="22"/>
          <w:szCs w:val="22"/>
        </w:rPr>
        <w:t xml:space="preserve"> (Portugal)</w:t>
      </w:r>
      <w:r w:rsidRPr="00075CB9">
        <w:rPr>
          <w:rFonts w:ascii="Calibri" w:hAnsi="Calibri" w:cs="Calibri"/>
          <w:sz w:val="22"/>
          <w:szCs w:val="22"/>
        </w:rPr>
        <w:t xml:space="preserve">; </w:t>
      </w:r>
      <w:r w:rsidRPr="00075CB9">
        <w:rPr>
          <w:rStyle w:val="whitespace-normal"/>
          <w:rFonts w:ascii="Calibri" w:hAnsi="Calibri" w:cs="Calibri"/>
          <w:b/>
          <w:bCs/>
          <w:sz w:val="22"/>
          <w:szCs w:val="22"/>
        </w:rPr>
        <w:t>Efi Christopoulou</w:t>
      </w:r>
      <w:r w:rsidRPr="00075CB9">
        <w:rPr>
          <w:rFonts w:ascii="Calibri" w:hAnsi="Calibri" w:cs="Calibri"/>
          <w:sz w:val="22"/>
          <w:szCs w:val="22"/>
        </w:rPr>
        <w:t xml:space="preserve">, </w:t>
      </w:r>
      <w:proofErr w:type="spellStart"/>
      <w:r w:rsidRPr="00075CB9">
        <w:rPr>
          <w:rFonts w:ascii="Calibri" w:hAnsi="Calibri" w:cs="Calibri"/>
          <w:sz w:val="22"/>
          <w:szCs w:val="22"/>
        </w:rPr>
        <w:t>del</w:t>
      </w:r>
      <w:r w:rsidR="002E5B72">
        <w:rPr>
          <w:rFonts w:ascii="Calibri" w:hAnsi="Calibri" w:cs="Calibri"/>
          <w:sz w:val="22"/>
          <w:szCs w:val="22"/>
        </w:rPr>
        <w:t>jefa</w:t>
      </w:r>
      <w:proofErr w:type="spellEnd"/>
      <w:r w:rsidR="002E5B72">
        <w:rPr>
          <w:rFonts w:ascii="Calibri" w:hAnsi="Calibri" w:cs="Calibri"/>
          <w:sz w:val="22"/>
          <w:szCs w:val="22"/>
        </w:rPr>
        <w:t xml:space="preserve"> de panel oficial de Grecia.</w:t>
      </w:r>
      <w:r w:rsidRPr="00075CB9">
        <w:rPr>
          <w:rFonts w:ascii="Calibri" w:hAnsi="Calibri" w:cs="Calibri"/>
          <w:sz w:val="22"/>
          <w:szCs w:val="22"/>
        </w:rPr>
        <w:t xml:space="preserve">; y </w:t>
      </w:r>
      <w:r w:rsidRPr="00075CB9">
        <w:rPr>
          <w:rStyle w:val="whitespace-normal"/>
          <w:rFonts w:ascii="Calibri" w:hAnsi="Calibri" w:cs="Calibri"/>
          <w:b/>
          <w:bCs/>
          <w:sz w:val="22"/>
          <w:szCs w:val="22"/>
        </w:rPr>
        <w:t>Tullia Gallin</w:t>
      </w:r>
      <w:r w:rsidR="002E5B72">
        <w:rPr>
          <w:rStyle w:val="whitespace-normal"/>
          <w:rFonts w:ascii="Calibri" w:hAnsi="Calibri" w:cs="Calibri"/>
          <w:b/>
          <w:bCs/>
          <w:sz w:val="22"/>
          <w:szCs w:val="22"/>
        </w:rPr>
        <w:t>a</w:t>
      </w:r>
      <w:r w:rsidRPr="00075CB9">
        <w:rPr>
          <w:rStyle w:val="whitespace-normal"/>
          <w:rFonts w:ascii="Calibri" w:hAnsi="Calibri" w:cs="Calibri"/>
          <w:b/>
          <w:bCs/>
          <w:sz w:val="22"/>
          <w:szCs w:val="22"/>
        </w:rPr>
        <w:t xml:space="preserve"> Toschi</w:t>
      </w:r>
      <w:r w:rsidRPr="00075CB9">
        <w:rPr>
          <w:rFonts w:ascii="Calibri" w:hAnsi="Calibri" w:cs="Calibri"/>
          <w:sz w:val="22"/>
          <w:szCs w:val="22"/>
        </w:rPr>
        <w:t xml:space="preserve">, de la </w:t>
      </w:r>
      <w:r w:rsidRPr="00075CB9">
        <w:rPr>
          <w:rStyle w:val="whitespace-normal"/>
          <w:rFonts w:ascii="Calibri" w:hAnsi="Calibri" w:cs="Calibri"/>
          <w:sz w:val="22"/>
          <w:szCs w:val="22"/>
        </w:rPr>
        <w:t>Universidad de Bolonia</w:t>
      </w:r>
      <w:r w:rsidR="002E5B72">
        <w:rPr>
          <w:rStyle w:val="whitespace-normal"/>
          <w:rFonts w:ascii="Calibri" w:hAnsi="Calibri" w:cs="Calibri"/>
          <w:sz w:val="22"/>
          <w:szCs w:val="22"/>
        </w:rPr>
        <w:t xml:space="preserve"> (Italia)</w:t>
      </w:r>
      <w:r w:rsidRPr="00075CB9">
        <w:rPr>
          <w:rFonts w:ascii="Calibri" w:hAnsi="Calibri" w:cs="Calibri"/>
          <w:sz w:val="22"/>
          <w:szCs w:val="22"/>
        </w:rPr>
        <w:t xml:space="preserve">. Este foro plural pone en diálogo diferentes realidades productivas, científicas y regulatorias, ofreciendo una </w:t>
      </w:r>
      <w:r w:rsidRPr="00075CB9">
        <w:rPr>
          <w:rStyle w:val="Fuerte"/>
          <w:rFonts w:ascii="Calibri" w:hAnsi="Calibri" w:cs="Calibri"/>
          <w:sz w:val="22"/>
          <w:szCs w:val="22"/>
        </w:rPr>
        <w:t>visión global</w:t>
      </w:r>
      <w:r w:rsidRPr="00075CB9">
        <w:rPr>
          <w:rFonts w:ascii="Calibri" w:hAnsi="Calibri" w:cs="Calibri"/>
          <w:sz w:val="22"/>
          <w:szCs w:val="22"/>
        </w:rPr>
        <w:t xml:space="preserve"> sobre los retos y oportunidades del análisis sensorial.</w:t>
      </w:r>
    </w:p>
    <w:p w14:paraId="1DEB514E" w14:textId="0AD61FE8" w:rsidR="00075CB9" w:rsidRPr="00075CB9" w:rsidRDefault="00075CB9" w:rsidP="00075CB9">
      <w:pPr>
        <w:pStyle w:val="NormalWeb"/>
        <w:jc w:val="both"/>
        <w:rPr>
          <w:rFonts w:ascii="Calibri" w:hAnsi="Calibri" w:cs="Calibri"/>
          <w:sz w:val="22"/>
          <w:szCs w:val="22"/>
        </w:rPr>
      </w:pPr>
      <w:r w:rsidRPr="00075CB9">
        <w:rPr>
          <w:rFonts w:ascii="Calibri" w:hAnsi="Calibri" w:cs="Calibri"/>
          <w:sz w:val="22"/>
          <w:szCs w:val="22"/>
        </w:rPr>
        <w:t xml:space="preserve">A lo largo de la sesión, se abordará cómo las metodologías tradicionales </w:t>
      </w:r>
      <w:r w:rsidR="002E5B72">
        <w:rPr>
          <w:rFonts w:ascii="Calibri" w:hAnsi="Calibri" w:cs="Calibri"/>
          <w:sz w:val="22"/>
          <w:szCs w:val="22"/>
        </w:rPr>
        <w:t xml:space="preserve">son permanentemente </w:t>
      </w:r>
      <w:r w:rsidRPr="00075CB9">
        <w:rPr>
          <w:rFonts w:ascii="Calibri" w:hAnsi="Calibri" w:cs="Calibri"/>
          <w:sz w:val="22"/>
          <w:szCs w:val="22"/>
        </w:rPr>
        <w:t xml:space="preserve"> revisadas para adaptarse a un entorno donde </w:t>
      </w:r>
      <w:r w:rsidRPr="00075CB9">
        <w:rPr>
          <w:rStyle w:val="Fuerte"/>
          <w:rFonts w:ascii="Calibri" w:hAnsi="Calibri" w:cs="Calibri"/>
          <w:sz w:val="22"/>
          <w:szCs w:val="22"/>
        </w:rPr>
        <w:t>la percepción del consumidor adquiere un peso creciente</w:t>
      </w:r>
      <w:r w:rsidRPr="00075CB9">
        <w:rPr>
          <w:rFonts w:ascii="Calibri" w:hAnsi="Calibri" w:cs="Calibri"/>
          <w:sz w:val="22"/>
          <w:szCs w:val="22"/>
        </w:rPr>
        <w:t xml:space="preserve">. La necesidad de mantener estándares objetivos convive ahora con la urgencia de interpretar tendencias de consumo, preferencias culturales y expectativas del mercado, lo que obliga a </w:t>
      </w:r>
      <w:r w:rsidRPr="00075CB9">
        <w:rPr>
          <w:rStyle w:val="Fuerte"/>
          <w:rFonts w:ascii="Calibri" w:hAnsi="Calibri" w:cs="Calibri"/>
          <w:sz w:val="22"/>
          <w:szCs w:val="22"/>
        </w:rPr>
        <w:t>repensar las herramientas de evaluación</w:t>
      </w:r>
      <w:r w:rsidRPr="00075CB9">
        <w:rPr>
          <w:rFonts w:ascii="Calibri" w:hAnsi="Calibri" w:cs="Calibri"/>
          <w:sz w:val="22"/>
          <w:szCs w:val="22"/>
        </w:rPr>
        <w:t>.</w:t>
      </w:r>
    </w:p>
    <w:p w14:paraId="679AE8F0" w14:textId="77777777" w:rsidR="00075CB9" w:rsidRPr="00075CB9" w:rsidRDefault="00075CB9" w:rsidP="00075CB9">
      <w:pPr>
        <w:pStyle w:val="NormalWeb"/>
        <w:jc w:val="both"/>
        <w:rPr>
          <w:rFonts w:ascii="Calibri" w:hAnsi="Calibri" w:cs="Calibri"/>
          <w:sz w:val="22"/>
          <w:szCs w:val="22"/>
        </w:rPr>
      </w:pPr>
      <w:r w:rsidRPr="00075CB9">
        <w:rPr>
          <w:rFonts w:ascii="Calibri" w:hAnsi="Calibri" w:cs="Calibri"/>
          <w:sz w:val="22"/>
          <w:szCs w:val="22"/>
        </w:rPr>
        <w:t xml:space="preserve">En este contexto, </w:t>
      </w:r>
      <w:r w:rsidRPr="00075CB9">
        <w:rPr>
          <w:rStyle w:val="whitespace-normal"/>
          <w:rFonts w:ascii="Calibri" w:hAnsi="Calibri" w:cs="Calibri"/>
          <w:b/>
          <w:bCs/>
          <w:sz w:val="22"/>
          <w:szCs w:val="22"/>
        </w:rPr>
        <w:t>Plácido Pascual</w:t>
      </w:r>
      <w:r w:rsidRPr="00075CB9">
        <w:rPr>
          <w:rFonts w:ascii="Calibri" w:hAnsi="Calibri" w:cs="Calibri"/>
          <w:sz w:val="22"/>
          <w:szCs w:val="22"/>
        </w:rPr>
        <w:t xml:space="preserve"> presentará la ponencia </w:t>
      </w:r>
      <w:r w:rsidRPr="00075CB9">
        <w:rPr>
          <w:rStyle w:val="nfasis"/>
          <w:rFonts w:ascii="Calibri" w:hAnsi="Calibri" w:cs="Calibri"/>
          <w:sz w:val="22"/>
          <w:szCs w:val="22"/>
        </w:rPr>
        <w:t>“Training of VOO tasting panels and harmonisation”</w:t>
      </w:r>
      <w:r w:rsidRPr="00075CB9">
        <w:rPr>
          <w:rFonts w:ascii="Calibri" w:hAnsi="Calibri" w:cs="Calibri"/>
          <w:sz w:val="22"/>
          <w:szCs w:val="22"/>
        </w:rPr>
        <w:t xml:space="preserve">, centrada en uno de los pilares del sistema: </w:t>
      </w:r>
      <w:r w:rsidRPr="00075CB9">
        <w:rPr>
          <w:rStyle w:val="Fuerte"/>
          <w:rFonts w:ascii="Calibri" w:hAnsi="Calibri" w:cs="Calibri"/>
          <w:sz w:val="22"/>
          <w:szCs w:val="22"/>
        </w:rPr>
        <w:t xml:space="preserve">la formación y la armonización de </w:t>
      </w:r>
      <w:r w:rsidRPr="00075CB9">
        <w:rPr>
          <w:rStyle w:val="Fuerte"/>
          <w:rFonts w:ascii="Calibri" w:hAnsi="Calibri" w:cs="Calibri"/>
          <w:sz w:val="22"/>
          <w:szCs w:val="22"/>
        </w:rPr>
        <w:lastRenderedPageBreak/>
        <w:t>los paneles de cata</w:t>
      </w:r>
      <w:r w:rsidRPr="00075CB9">
        <w:rPr>
          <w:rFonts w:ascii="Calibri" w:hAnsi="Calibri" w:cs="Calibri"/>
          <w:sz w:val="22"/>
          <w:szCs w:val="22"/>
        </w:rPr>
        <w:t xml:space="preserve">. Su intervención subraya la importancia de garantizar la consistencia entre paneles a nivel internacional, un aspecto clave para </w:t>
      </w:r>
      <w:r w:rsidRPr="00075CB9">
        <w:rPr>
          <w:rStyle w:val="Fuerte"/>
          <w:rFonts w:ascii="Calibri" w:hAnsi="Calibri" w:cs="Calibri"/>
          <w:sz w:val="22"/>
          <w:szCs w:val="22"/>
        </w:rPr>
        <w:t>preservar la credibilidad</w:t>
      </w:r>
      <w:r w:rsidRPr="00075CB9">
        <w:rPr>
          <w:rFonts w:ascii="Calibri" w:hAnsi="Calibri" w:cs="Calibri"/>
          <w:sz w:val="22"/>
          <w:szCs w:val="22"/>
        </w:rPr>
        <w:t xml:space="preserve"> del análisis sensorial como herramienta normativa y de control de calidad.</w:t>
      </w:r>
    </w:p>
    <w:p w14:paraId="3CE72398" w14:textId="77777777" w:rsidR="00075CB9" w:rsidRPr="00075CB9" w:rsidRDefault="00075CB9" w:rsidP="00075CB9">
      <w:pPr>
        <w:pStyle w:val="NormalWeb"/>
        <w:jc w:val="both"/>
        <w:rPr>
          <w:rFonts w:ascii="Calibri" w:hAnsi="Calibri" w:cs="Calibri"/>
          <w:sz w:val="22"/>
          <w:szCs w:val="22"/>
        </w:rPr>
      </w:pPr>
      <w:r w:rsidRPr="00075CB9">
        <w:rPr>
          <w:rFonts w:ascii="Calibri" w:hAnsi="Calibri" w:cs="Calibri"/>
          <w:sz w:val="22"/>
          <w:szCs w:val="22"/>
        </w:rPr>
        <w:t xml:space="preserve">Pero el bloque va un paso más allá. </w:t>
      </w:r>
      <w:r w:rsidRPr="00075CB9">
        <w:rPr>
          <w:rStyle w:val="whitespace-normal"/>
          <w:rFonts w:ascii="Calibri" w:hAnsi="Calibri" w:cs="Calibri"/>
          <w:b/>
          <w:bCs/>
          <w:sz w:val="22"/>
          <w:szCs w:val="22"/>
        </w:rPr>
        <w:t>Susana Mattar</w:t>
      </w:r>
      <w:r w:rsidRPr="00075CB9">
        <w:rPr>
          <w:rFonts w:ascii="Calibri" w:hAnsi="Calibri" w:cs="Calibri"/>
          <w:sz w:val="22"/>
          <w:szCs w:val="22"/>
        </w:rPr>
        <w:t xml:space="preserve">, en su ponencia </w:t>
      </w:r>
      <w:r w:rsidRPr="00075CB9">
        <w:rPr>
          <w:rStyle w:val="nfasis"/>
          <w:rFonts w:ascii="Calibri" w:hAnsi="Calibri" w:cs="Calibri"/>
          <w:sz w:val="22"/>
          <w:szCs w:val="22"/>
        </w:rPr>
        <w:t>“From expert panel to hedonistic tasting: sensory properties and quality of EVOO”</w:t>
      </w:r>
      <w:r w:rsidRPr="00075CB9">
        <w:rPr>
          <w:rFonts w:ascii="Calibri" w:hAnsi="Calibri" w:cs="Calibri"/>
          <w:sz w:val="22"/>
          <w:szCs w:val="22"/>
        </w:rPr>
        <w:t xml:space="preserve">, introduce una dimensión complementaria: </w:t>
      </w:r>
      <w:r w:rsidRPr="00075CB9">
        <w:rPr>
          <w:rStyle w:val="Fuerte"/>
          <w:rFonts w:ascii="Calibri" w:hAnsi="Calibri" w:cs="Calibri"/>
          <w:sz w:val="22"/>
          <w:szCs w:val="22"/>
        </w:rPr>
        <w:t>la del consumidor</w:t>
      </w:r>
      <w:r w:rsidRPr="00075CB9">
        <w:rPr>
          <w:rFonts w:ascii="Calibri" w:hAnsi="Calibri" w:cs="Calibri"/>
          <w:sz w:val="22"/>
          <w:szCs w:val="22"/>
        </w:rPr>
        <w:t xml:space="preserve">. Su propuesta plantea integrar metodologías hedónicas que permitan medir no solo lo que un aceite es desde el punto de vista técnico, sino también </w:t>
      </w:r>
      <w:r w:rsidRPr="00075CB9">
        <w:rPr>
          <w:rStyle w:val="Fuerte"/>
          <w:rFonts w:ascii="Calibri" w:hAnsi="Calibri" w:cs="Calibri"/>
          <w:sz w:val="22"/>
          <w:szCs w:val="22"/>
        </w:rPr>
        <w:t>lo que representa para quien lo consume</w:t>
      </w:r>
      <w:r w:rsidRPr="00075CB9">
        <w:rPr>
          <w:rFonts w:ascii="Calibri" w:hAnsi="Calibri" w:cs="Calibri"/>
          <w:sz w:val="22"/>
          <w:szCs w:val="22"/>
        </w:rPr>
        <w:t xml:space="preserve">. Se trata de un cambio de enfoque que conecta directamente con la </w:t>
      </w:r>
      <w:r w:rsidRPr="00075CB9">
        <w:rPr>
          <w:rStyle w:val="Fuerte"/>
          <w:rFonts w:ascii="Calibri" w:hAnsi="Calibri" w:cs="Calibri"/>
          <w:sz w:val="22"/>
          <w:szCs w:val="22"/>
        </w:rPr>
        <w:t>experiencia de compra</w:t>
      </w:r>
      <w:r w:rsidRPr="00075CB9">
        <w:rPr>
          <w:rFonts w:ascii="Calibri" w:hAnsi="Calibri" w:cs="Calibri"/>
          <w:sz w:val="22"/>
          <w:szCs w:val="22"/>
        </w:rPr>
        <w:t xml:space="preserve"> y el posicionamiento de los productos en el mercado.</w:t>
      </w:r>
    </w:p>
    <w:p w14:paraId="0A4D40FC" w14:textId="77777777" w:rsidR="00075CB9" w:rsidRPr="00075CB9" w:rsidRDefault="00075CB9" w:rsidP="00075CB9">
      <w:pPr>
        <w:pStyle w:val="NormalWeb"/>
        <w:jc w:val="both"/>
        <w:rPr>
          <w:rFonts w:ascii="Calibri" w:hAnsi="Calibri" w:cs="Calibri"/>
          <w:sz w:val="22"/>
          <w:szCs w:val="22"/>
        </w:rPr>
      </w:pPr>
      <w:r w:rsidRPr="00075CB9">
        <w:rPr>
          <w:rFonts w:ascii="Calibri" w:hAnsi="Calibri" w:cs="Calibri"/>
          <w:sz w:val="22"/>
          <w:szCs w:val="22"/>
        </w:rPr>
        <w:t xml:space="preserve">Este diálogo entre precisión científica y percepción subjetiva refleja una </w:t>
      </w:r>
      <w:r w:rsidRPr="00075CB9">
        <w:rPr>
          <w:rStyle w:val="Fuerte"/>
          <w:rFonts w:ascii="Calibri" w:hAnsi="Calibri" w:cs="Calibri"/>
          <w:sz w:val="22"/>
          <w:szCs w:val="22"/>
        </w:rPr>
        <w:t>transformación profunda en el sector oleícola</w:t>
      </w:r>
      <w:r w:rsidRPr="00075CB9">
        <w:rPr>
          <w:rFonts w:ascii="Calibri" w:hAnsi="Calibri" w:cs="Calibri"/>
          <w:sz w:val="22"/>
          <w:szCs w:val="22"/>
        </w:rPr>
        <w:t xml:space="preserve">. El análisis sensorial deja de ser un sistema cerrado para convertirse en </w:t>
      </w:r>
      <w:r w:rsidRPr="00075CB9">
        <w:rPr>
          <w:rStyle w:val="Fuerte"/>
          <w:rFonts w:ascii="Calibri" w:hAnsi="Calibri" w:cs="Calibri"/>
          <w:sz w:val="22"/>
          <w:szCs w:val="22"/>
        </w:rPr>
        <w:t>un lenguaje compartido entre expertos, productores y consumidores</w:t>
      </w:r>
      <w:r w:rsidRPr="00075CB9">
        <w:rPr>
          <w:rFonts w:ascii="Calibri" w:hAnsi="Calibri" w:cs="Calibri"/>
          <w:sz w:val="22"/>
          <w:szCs w:val="22"/>
        </w:rPr>
        <w:t xml:space="preserve">. En este nuevo paradigma, la calidad no solo se define por la ausencia de defectos o la presencia de atributos positivos, sino también por la capacidad de un aceite para </w:t>
      </w:r>
      <w:r w:rsidRPr="00075CB9">
        <w:rPr>
          <w:rStyle w:val="Fuerte"/>
          <w:rFonts w:ascii="Calibri" w:hAnsi="Calibri" w:cs="Calibri"/>
          <w:sz w:val="22"/>
          <w:szCs w:val="22"/>
        </w:rPr>
        <w:t>generar preferencia, emoción y fidelidad</w:t>
      </w:r>
      <w:r w:rsidRPr="00075CB9">
        <w:rPr>
          <w:rFonts w:ascii="Calibri" w:hAnsi="Calibri" w:cs="Calibri"/>
          <w:sz w:val="22"/>
          <w:szCs w:val="22"/>
        </w:rPr>
        <w:t>.</w:t>
      </w:r>
    </w:p>
    <w:p w14:paraId="50C2B0F4" w14:textId="77777777" w:rsidR="00075CB9" w:rsidRPr="00075CB9" w:rsidRDefault="00075CB9" w:rsidP="00075CB9">
      <w:pPr>
        <w:pStyle w:val="NormalWeb"/>
        <w:jc w:val="both"/>
        <w:rPr>
          <w:rFonts w:ascii="Calibri" w:hAnsi="Calibri" w:cs="Calibri"/>
          <w:sz w:val="22"/>
          <w:szCs w:val="22"/>
        </w:rPr>
      </w:pPr>
      <w:r w:rsidRPr="00075CB9">
        <w:rPr>
          <w:rFonts w:ascii="Calibri" w:hAnsi="Calibri" w:cs="Calibri"/>
          <w:sz w:val="22"/>
          <w:szCs w:val="22"/>
        </w:rPr>
        <w:t xml:space="preserve">El </w:t>
      </w:r>
      <w:r w:rsidRPr="00075CB9">
        <w:rPr>
          <w:rStyle w:val="whitespace-normal"/>
          <w:rFonts w:ascii="Calibri" w:hAnsi="Calibri" w:cs="Calibri"/>
          <w:sz w:val="22"/>
          <w:szCs w:val="22"/>
        </w:rPr>
        <w:t>Olive Oil World Congress</w:t>
      </w:r>
      <w:r w:rsidRPr="00075CB9">
        <w:rPr>
          <w:rFonts w:ascii="Calibri" w:hAnsi="Calibri" w:cs="Calibri"/>
          <w:sz w:val="22"/>
          <w:szCs w:val="22"/>
        </w:rPr>
        <w:t xml:space="preserve"> consolida así su papel como </w:t>
      </w:r>
      <w:r w:rsidRPr="00075CB9">
        <w:rPr>
          <w:rStyle w:val="Fuerte"/>
          <w:rFonts w:ascii="Calibri" w:hAnsi="Calibri" w:cs="Calibri"/>
          <w:sz w:val="22"/>
          <w:szCs w:val="22"/>
        </w:rPr>
        <w:t>plataforma de referencia internacional</w:t>
      </w:r>
      <w:r w:rsidRPr="00075CB9">
        <w:rPr>
          <w:rFonts w:ascii="Calibri" w:hAnsi="Calibri" w:cs="Calibri"/>
          <w:sz w:val="22"/>
          <w:szCs w:val="22"/>
        </w:rPr>
        <w:t xml:space="preserve"> para anticipar las tendencias que marcarán el futuro del aceite de oliva virgen extra. En el cruce entre laboratorio y mercado, el mensaje es claro: </w:t>
      </w:r>
      <w:r w:rsidRPr="00075CB9">
        <w:rPr>
          <w:rStyle w:val="Fuerte"/>
          <w:rFonts w:ascii="Calibri" w:hAnsi="Calibri" w:cs="Calibri"/>
          <w:sz w:val="22"/>
          <w:szCs w:val="22"/>
        </w:rPr>
        <w:t>entender al consumidor ya no es una opción, sino una condición imprescindible para definir la calidad del mañana</w:t>
      </w:r>
      <w:r w:rsidRPr="00075CB9">
        <w:rPr>
          <w:rFonts w:ascii="Calibri" w:hAnsi="Calibri" w:cs="Calibri"/>
          <w:sz w:val="22"/>
          <w:szCs w:val="22"/>
        </w:rPr>
        <w:t>.</w:t>
      </w:r>
    </w:p>
    <w:p w14:paraId="460A1D56" w14:textId="213D04CB" w:rsidR="00701C32" w:rsidRPr="00701C32" w:rsidRDefault="00387386" w:rsidP="00387386">
      <w:pPr>
        <w:pStyle w:val="NormalWeb"/>
        <w:jc w:val="both"/>
        <w:rPr>
          <w:rFonts w:asciiTheme="minorHAnsi" w:hAnsiTheme="minorHAnsi" w:cstheme="minorHAnsi"/>
          <w:sz w:val="22"/>
          <w:szCs w:val="22"/>
        </w:rPr>
      </w:pPr>
      <w:r w:rsidRPr="00607930">
        <w:rPr>
          <w:rFonts w:asciiTheme="minorHAnsi" w:hAnsiTheme="minorHAnsi" w:cstheme="minorHAnsi"/>
          <w:sz w:val="22"/>
          <w:szCs w:val="22"/>
        </w:rPr>
        <w:t xml:space="preserve">Todas las personas, empresas o instituciones públicas o privadas del sector oleícola interesadas en participar en este Congreso pueden formalizar su </w:t>
      </w:r>
      <w:r w:rsidRPr="00607930">
        <w:rPr>
          <w:rFonts w:asciiTheme="minorHAnsi" w:hAnsiTheme="minorHAnsi" w:cstheme="minorHAnsi"/>
          <w:b/>
          <w:bCs/>
          <w:sz w:val="22"/>
          <w:szCs w:val="22"/>
        </w:rPr>
        <w:t>inscripción</w:t>
      </w:r>
      <w:r w:rsidRPr="00607930">
        <w:rPr>
          <w:rFonts w:asciiTheme="minorHAnsi" w:hAnsiTheme="minorHAnsi" w:cstheme="minorHAnsi"/>
          <w:sz w:val="22"/>
          <w:szCs w:val="22"/>
        </w:rPr>
        <w:t xml:space="preserve"> a través del siguiente enlace: </w:t>
      </w:r>
      <w:hyperlink r:id="rId7" w:history="1">
        <w:r w:rsidR="00286536" w:rsidRPr="00607930">
          <w:rPr>
            <w:rStyle w:val="Hipervnculo"/>
            <w:rFonts w:asciiTheme="minorHAnsi" w:hAnsiTheme="minorHAnsi" w:cstheme="minorHAnsi"/>
            <w:b/>
            <w:bCs/>
            <w:sz w:val="22"/>
            <w:szCs w:val="22"/>
            <w:lang w:val="es-ES_tradnl"/>
          </w:rPr>
          <w:t>https://www.oliveoilworldcongress.com/inscription</w:t>
        </w:r>
      </w:hyperlink>
      <w:r w:rsidR="00286536" w:rsidRPr="00607930">
        <w:rPr>
          <w:rFonts w:asciiTheme="minorHAnsi" w:hAnsiTheme="minorHAnsi" w:cstheme="minorHAnsi"/>
          <w:b/>
          <w:bCs/>
          <w:sz w:val="22"/>
          <w:szCs w:val="22"/>
          <w:lang w:val="es-ES_tradnl"/>
        </w:rPr>
        <w:t>  </w:t>
      </w:r>
    </w:p>
    <w:p w14:paraId="001040FE" w14:textId="77777777" w:rsidR="00767194" w:rsidRPr="00B47747" w:rsidRDefault="00767194" w:rsidP="00EA3526">
      <w:pPr>
        <w:pStyle w:val="z-Finaldelformulario"/>
        <w:jc w:val="both"/>
        <w:rPr>
          <w:rFonts w:asciiTheme="minorHAnsi" w:hAnsiTheme="minorHAnsi" w:cstheme="minorHAnsi"/>
          <w:sz w:val="22"/>
          <w:szCs w:val="22"/>
        </w:rPr>
      </w:pPr>
      <w:r w:rsidRPr="00B47747">
        <w:rPr>
          <w:rFonts w:asciiTheme="minorHAnsi" w:hAnsiTheme="minorHAnsi" w:cstheme="minorHAnsi"/>
          <w:sz w:val="22"/>
          <w:szCs w:val="22"/>
        </w:rPr>
        <w:t>Final del formulario</w:t>
      </w:r>
    </w:p>
    <w:p w14:paraId="62B97B9A" w14:textId="68759EE6" w:rsidR="000A1A75" w:rsidRPr="00B47747" w:rsidRDefault="00843F87" w:rsidP="00EA3526">
      <w:pPr>
        <w:spacing w:before="100" w:beforeAutospacing="1" w:after="100" w:afterAutospacing="1" w:line="240" w:lineRule="auto"/>
        <w:jc w:val="both"/>
        <w:rPr>
          <w:rFonts w:eastAsia="Times New Roman" w:cstheme="minorHAnsi"/>
          <w:lang w:val="es-ES" w:eastAsia="es-ES"/>
        </w:rPr>
      </w:pPr>
      <w:r w:rsidRPr="00B47747">
        <w:rPr>
          <w:rFonts w:eastAsia="Times New Roman" w:cstheme="minorHAnsi"/>
          <w:lang w:val="es-ES" w:eastAsia="es-ES"/>
        </w:rPr>
        <w:t xml:space="preserve">El </w:t>
      </w:r>
      <w:r w:rsidR="000A1A75" w:rsidRPr="00B47747">
        <w:rPr>
          <w:rFonts w:eastAsia="Times New Roman" w:cstheme="minorHAnsi"/>
          <w:lang w:val="es-ES" w:eastAsia="es-ES"/>
        </w:rPr>
        <w:t>C</w:t>
      </w:r>
      <w:r w:rsidRPr="00B47747">
        <w:rPr>
          <w:rFonts w:eastAsia="Times New Roman" w:cstheme="minorHAnsi"/>
          <w:lang w:val="es-ES" w:eastAsia="es-ES"/>
        </w:rPr>
        <w:t xml:space="preserve">ongreso cuenta </w:t>
      </w:r>
      <w:r w:rsidR="000A1A75" w:rsidRPr="00B47747">
        <w:rPr>
          <w:rFonts w:eastAsia="Times New Roman" w:cstheme="minorHAnsi"/>
          <w:lang w:val="es-ES" w:eastAsia="es-ES"/>
        </w:rPr>
        <w:t xml:space="preserve">ya </w:t>
      </w:r>
      <w:r w:rsidRPr="00B47747">
        <w:rPr>
          <w:rFonts w:eastAsia="Times New Roman" w:cstheme="minorHAnsi"/>
          <w:lang w:val="es-ES" w:eastAsia="es-ES"/>
        </w:rPr>
        <w:t xml:space="preserve">con el respaldo institucional del </w:t>
      </w:r>
      <w:r w:rsidRPr="00B47747">
        <w:rPr>
          <w:rFonts w:eastAsia="Times New Roman" w:cstheme="minorHAnsi"/>
          <w:b/>
          <w:bCs/>
          <w:lang w:val="es-ES" w:eastAsia="es-ES"/>
        </w:rPr>
        <w:t>Consejo Oleícola Internacional (COI)</w:t>
      </w:r>
      <w:r w:rsidRPr="00B47747">
        <w:rPr>
          <w:rFonts w:eastAsia="Times New Roman" w:cstheme="minorHAnsi"/>
          <w:lang w:val="es-ES" w:eastAsia="es-ES"/>
        </w:rPr>
        <w:t xml:space="preserve">, el </w:t>
      </w:r>
      <w:r w:rsidRPr="00B47747">
        <w:rPr>
          <w:rFonts w:eastAsia="Times New Roman" w:cstheme="minorHAnsi"/>
          <w:b/>
          <w:bCs/>
          <w:lang w:val="es-ES" w:eastAsia="es-ES"/>
        </w:rPr>
        <w:t>CIHEAM</w:t>
      </w:r>
      <w:r w:rsidRPr="00B47747">
        <w:rPr>
          <w:rFonts w:eastAsia="Times New Roman" w:cstheme="minorHAnsi"/>
          <w:lang w:val="es-ES" w:eastAsia="es-ES"/>
        </w:rPr>
        <w:t xml:space="preserve"> y la </w:t>
      </w:r>
      <w:r w:rsidRPr="00B47747">
        <w:rPr>
          <w:rFonts w:eastAsia="Times New Roman" w:cstheme="minorHAnsi"/>
          <w:b/>
          <w:bCs/>
          <w:lang w:val="es-ES" w:eastAsia="es-ES"/>
        </w:rPr>
        <w:t>Fundación Dieta Mediterránea</w:t>
      </w:r>
      <w:r w:rsidRPr="00B47747">
        <w:rPr>
          <w:rFonts w:eastAsia="Times New Roman" w:cstheme="minorHAnsi"/>
          <w:lang w:val="es-ES" w:eastAsia="es-ES"/>
        </w:rPr>
        <w:t xml:space="preserve">, junto a entidades públicas como el </w:t>
      </w:r>
      <w:r w:rsidRPr="00B47747">
        <w:rPr>
          <w:rFonts w:eastAsia="Times New Roman" w:cstheme="minorHAnsi"/>
          <w:b/>
          <w:bCs/>
          <w:lang w:val="es-ES" w:eastAsia="es-ES"/>
        </w:rPr>
        <w:t>Ministerio de Agricultura, Pesca y Alimentación (Alimentos de España)</w:t>
      </w:r>
      <w:r w:rsidRPr="00B47747">
        <w:rPr>
          <w:rFonts w:eastAsia="Times New Roman" w:cstheme="minorHAnsi"/>
          <w:lang w:val="es-ES" w:eastAsia="es-ES"/>
        </w:rPr>
        <w:t xml:space="preserve">, el </w:t>
      </w:r>
      <w:r w:rsidRPr="00B47747">
        <w:rPr>
          <w:rFonts w:eastAsia="Times New Roman" w:cstheme="minorHAnsi"/>
          <w:b/>
          <w:bCs/>
          <w:lang w:val="es-ES" w:eastAsia="es-ES"/>
        </w:rPr>
        <w:t>Ministério da Agricultura e do Mar de Portugal</w:t>
      </w:r>
      <w:r w:rsidRPr="00B47747">
        <w:rPr>
          <w:rFonts w:eastAsia="Times New Roman" w:cstheme="minorHAnsi"/>
          <w:lang w:val="es-ES" w:eastAsia="es-ES"/>
        </w:rPr>
        <w:t xml:space="preserve">, la </w:t>
      </w:r>
      <w:r w:rsidRPr="00B47747">
        <w:rPr>
          <w:rFonts w:eastAsia="Times New Roman" w:cstheme="minorHAnsi"/>
          <w:b/>
          <w:bCs/>
          <w:lang w:val="es-ES" w:eastAsia="es-ES"/>
        </w:rPr>
        <w:t>Junta de Castilla-La Mancha (</w:t>
      </w:r>
      <w:r w:rsidR="000A1A75" w:rsidRPr="00B47747">
        <w:rPr>
          <w:rFonts w:eastAsia="Times New Roman" w:cstheme="minorHAnsi"/>
          <w:b/>
          <w:bCs/>
          <w:lang w:val="es-ES" w:eastAsia="es-ES"/>
        </w:rPr>
        <w:t>‘</w:t>
      </w:r>
      <w:r w:rsidRPr="00B47747">
        <w:rPr>
          <w:rFonts w:eastAsia="Times New Roman" w:cstheme="minorHAnsi"/>
          <w:b/>
          <w:bCs/>
          <w:lang w:val="es-ES" w:eastAsia="es-ES"/>
        </w:rPr>
        <w:t>Campo y Alma</w:t>
      </w:r>
      <w:r w:rsidR="000A1A75" w:rsidRPr="00B47747">
        <w:rPr>
          <w:rFonts w:eastAsia="Times New Roman" w:cstheme="minorHAnsi"/>
          <w:b/>
          <w:bCs/>
          <w:lang w:val="es-ES" w:eastAsia="es-ES"/>
        </w:rPr>
        <w:t>’</w:t>
      </w:r>
      <w:r w:rsidRPr="00B47747">
        <w:rPr>
          <w:rFonts w:eastAsia="Times New Roman" w:cstheme="minorHAnsi"/>
          <w:b/>
          <w:bCs/>
          <w:lang w:val="es-ES" w:eastAsia="es-ES"/>
        </w:rPr>
        <w:t>)</w:t>
      </w:r>
      <w:r w:rsidRPr="00B47747">
        <w:rPr>
          <w:rFonts w:eastAsia="Times New Roman" w:cstheme="minorHAnsi"/>
          <w:lang w:val="es-ES" w:eastAsia="es-ES"/>
        </w:rPr>
        <w:t xml:space="preserve">, la </w:t>
      </w:r>
      <w:r w:rsidRPr="00B47747">
        <w:rPr>
          <w:rFonts w:eastAsia="Times New Roman" w:cstheme="minorHAnsi"/>
          <w:b/>
          <w:bCs/>
          <w:lang w:val="es-ES" w:eastAsia="es-ES"/>
        </w:rPr>
        <w:t>Generalitat de Catalunya</w:t>
      </w:r>
      <w:r w:rsidRPr="00B47747">
        <w:rPr>
          <w:rFonts w:eastAsia="Times New Roman" w:cstheme="minorHAnsi"/>
          <w:lang w:val="es-ES" w:eastAsia="es-ES"/>
        </w:rPr>
        <w:t xml:space="preserve"> y el </w:t>
      </w:r>
      <w:r w:rsidRPr="00B47747">
        <w:rPr>
          <w:rFonts w:eastAsia="Times New Roman" w:cstheme="minorHAnsi"/>
          <w:b/>
          <w:bCs/>
          <w:lang w:val="es-ES" w:eastAsia="es-ES"/>
        </w:rPr>
        <w:t>IMIDRA</w:t>
      </w:r>
      <w:r w:rsidRPr="00B47747">
        <w:rPr>
          <w:rFonts w:eastAsia="Times New Roman" w:cstheme="minorHAnsi"/>
          <w:lang w:val="es-ES" w:eastAsia="es-ES"/>
        </w:rPr>
        <w:t>.</w:t>
      </w:r>
      <w:r w:rsidR="00BA0BAC" w:rsidRPr="00B47747">
        <w:rPr>
          <w:rFonts w:eastAsia="Times New Roman" w:cstheme="minorHAnsi"/>
          <w:lang w:val="es-ES" w:eastAsia="es-ES"/>
        </w:rPr>
        <w:t xml:space="preserve"> </w:t>
      </w:r>
    </w:p>
    <w:p w14:paraId="23B4C5A0" w14:textId="66F224CC" w:rsidR="00F927B3" w:rsidRPr="00B47747" w:rsidRDefault="00843F87" w:rsidP="00B47747">
      <w:pPr>
        <w:spacing w:before="100" w:beforeAutospacing="1" w:after="100" w:afterAutospacing="1" w:line="240" w:lineRule="auto"/>
        <w:jc w:val="both"/>
        <w:rPr>
          <w:rFonts w:cstheme="minorHAnsi"/>
          <w:lang w:val="es-ES"/>
        </w:rPr>
      </w:pPr>
      <w:r w:rsidRPr="00B47747">
        <w:rPr>
          <w:rFonts w:eastAsia="Times New Roman" w:cstheme="minorHAnsi"/>
          <w:lang w:val="es-ES" w:eastAsia="es-ES"/>
        </w:rPr>
        <w:t>En el ámbito privado respaldan</w:t>
      </w:r>
      <w:r w:rsidR="00A208AE">
        <w:rPr>
          <w:rFonts w:eastAsia="Times New Roman" w:cstheme="minorHAnsi"/>
          <w:lang w:val="es-ES" w:eastAsia="es-ES"/>
        </w:rPr>
        <w:t xml:space="preserve">, </w:t>
      </w:r>
      <w:r w:rsidR="000A1A75" w:rsidRPr="00B47747">
        <w:rPr>
          <w:rFonts w:eastAsia="Times New Roman" w:cstheme="minorHAnsi"/>
          <w:lang w:val="es-ES" w:eastAsia="es-ES"/>
        </w:rPr>
        <w:t>por ahora</w:t>
      </w:r>
      <w:r w:rsidR="00A208AE">
        <w:rPr>
          <w:rFonts w:eastAsia="Times New Roman" w:cstheme="minorHAnsi"/>
          <w:lang w:val="es-ES" w:eastAsia="es-ES"/>
        </w:rPr>
        <w:t>,</w:t>
      </w:r>
      <w:r w:rsidRPr="00B47747">
        <w:rPr>
          <w:rFonts w:eastAsia="Times New Roman" w:cstheme="minorHAnsi"/>
          <w:lang w:val="es-ES" w:eastAsia="es-ES"/>
        </w:rPr>
        <w:t xml:space="preserve"> esta </w:t>
      </w:r>
      <w:r w:rsidR="000A1A75" w:rsidRPr="00B47747">
        <w:rPr>
          <w:rFonts w:eastAsia="Times New Roman" w:cstheme="minorHAnsi"/>
          <w:lang w:val="es-ES" w:eastAsia="es-ES"/>
        </w:rPr>
        <w:t xml:space="preserve">segunda </w:t>
      </w:r>
      <w:r w:rsidRPr="00B47747">
        <w:rPr>
          <w:rFonts w:eastAsia="Times New Roman" w:cstheme="minorHAnsi"/>
          <w:lang w:val="es-ES" w:eastAsia="es-ES"/>
        </w:rPr>
        <w:t xml:space="preserve">edición, además de </w:t>
      </w:r>
      <w:r w:rsidRPr="00B47747">
        <w:rPr>
          <w:rFonts w:eastAsia="Times New Roman" w:cstheme="minorHAnsi"/>
          <w:b/>
          <w:bCs/>
          <w:lang w:val="es-ES" w:eastAsia="es-ES"/>
        </w:rPr>
        <w:t>Olivum</w:t>
      </w:r>
      <w:r w:rsidRPr="00B47747">
        <w:rPr>
          <w:rFonts w:eastAsia="Times New Roman" w:cstheme="minorHAnsi"/>
          <w:lang w:val="es-ES" w:eastAsia="es-ES"/>
        </w:rPr>
        <w:t xml:space="preserve">, entidades como </w:t>
      </w:r>
      <w:r w:rsidRPr="00B47747">
        <w:rPr>
          <w:rFonts w:eastAsia="Times New Roman" w:cstheme="minorHAnsi"/>
          <w:b/>
          <w:bCs/>
          <w:lang w:val="es-ES" w:eastAsia="es-ES"/>
        </w:rPr>
        <w:t>AgroBank, GEA Group, Kubota, Feria de Zaragoza (ENOMAQ), Dazeite y Siliker</w:t>
      </w:r>
      <w:r w:rsidRPr="00B47747">
        <w:rPr>
          <w:rFonts w:eastAsia="Times New Roman" w:cstheme="minorHAnsi"/>
          <w:lang w:val="es-ES" w:eastAsia="es-ES"/>
        </w:rPr>
        <w:t>.</w:t>
      </w:r>
    </w:p>
    <w:p w14:paraId="6A39D8CE" w14:textId="0FEEF32A" w:rsidR="00F63EB0" w:rsidRPr="00B47747" w:rsidRDefault="00CA1C1E" w:rsidP="00F927B3">
      <w:pPr>
        <w:shd w:val="clear" w:color="auto" w:fill="FFFFFF"/>
        <w:spacing w:after="0"/>
        <w:jc w:val="both"/>
        <w:rPr>
          <w:rFonts w:eastAsia="Times New Roman" w:cstheme="minorHAnsi"/>
          <w:b/>
          <w:bCs/>
          <w:lang w:val="es-ES" w:eastAsia="es-ES"/>
        </w:rPr>
      </w:pPr>
      <w:r w:rsidRPr="00B47747">
        <w:rPr>
          <w:rFonts w:cstheme="minorHAnsi"/>
          <w:lang w:val="es-ES"/>
        </w:rPr>
        <w:t>Desde el OOWC</w:t>
      </w:r>
      <w:r w:rsidR="006756A8" w:rsidRPr="00B47747">
        <w:rPr>
          <w:rFonts w:cstheme="minorHAnsi"/>
          <w:lang w:val="es-ES"/>
        </w:rPr>
        <w:t xml:space="preserve"> </w:t>
      </w:r>
      <w:r w:rsidRPr="00B47747">
        <w:rPr>
          <w:rFonts w:cstheme="minorHAnsi"/>
          <w:b/>
          <w:bCs/>
          <w:lang w:val="es-ES"/>
        </w:rPr>
        <w:t>i</w:t>
      </w:r>
      <w:r w:rsidR="00F36DB3" w:rsidRPr="00B47747">
        <w:rPr>
          <w:rFonts w:cstheme="minorHAnsi"/>
          <w:b/>
          <w:bCs/>
          <w:lang w:val="es-ES"/>
        </w:rPr>
        <w:t>nvitamos</w:t>
      </w:r>
      <w:r w:rsidR="001F07C9" w:rsidRPr="00B47747">
        <w:rPr>
          <w:rFonts w:cstheme="minorHAnsi"/>
          <w:b/>
          <w:bCs/>
          <w:lang w:val="es-ES"/>
        </w:rPr>
        <w:t xml:space="preserve"> a todos a </w:t>
      </w:r>
      <w:r w:rsidR="00F36DB3" w:rsidRPr="00B47747">
        <w:rPr>
          <w:rFonts w:cstheme="minorHAnsi"/>
          <w:b/>
          <w:bCs/>
          <w:lang w:val="es-ES"/>
        </w:rPr>
        <w:t xml:space="preserve">formar parte de este proyecto </w:t>
      </w:r>
      <w:r w:rsidR="001F07C9" w:rsidRPr="00B47747">
        <w:rPr>
          <w:rFonts w:cstheme="minorHAnsi"/>
          <w:b/>
          <w:bCs/>
          <w:lang w:val="es-ES"/>
        </w:rPr>
        <w:t xml:space="preserve">internacional </w:t>
      </w:r>
      <w:r w:rsidR="00F36DB3" w:rsidRPr="00B47747">
        <w:rPr>
          <w:rFonts w:cstheme="minorHAnsi"/>
          <w:b/>
          <w:bCs/>
          <w:lang w:val="es-ES"/>
        </w:rPr>
        <w:t>colaborati</w:t>
      </w:r>
      <w:r w:rsidR="006756A8" w:rsidRPr="00B47747">
        <w:rPr>
          <w:rFonts w:cstheme="minorHAnsi"/>
          <w:b/>
          <w:bCs/>
          <w:lang w:val="es-ES"/>
        </w:rPr>
        <w:t xml:space="preserve">vo, </w:t>
      </w:r>
      <w:r w:rsidR="001F07C9" w:rsidRPr="00B47747">
        <w:rPr>
          <w:rFonts w:cstheme="minorHAnsi"/>
          <w:b/>
          <w:bCs/>
          <w:lang w:val="es-ES"/>
        </w:rPr>
        <w:t xml:space="preserve">instándoles a </w:t>
      </w:r>
      <w:r w:rsidR="00F36DB3" w:rsidRPr="00B47747">
        <w:rPr>
          <w:rFonts w:cstheme="minorHAnsi"/>
          <w:b/>
          <w:bCs/>
          <w:lang w:val="es-ES"/>
        </w:rPr>
        <w:t>explora</w:t>
      </w:r>
      <w:r w:rsidR="001F07C9" w:rsidRPr="00B47747">
        <w:rPr>
          <w:rFonts w:cstheme="minorHAnsi"/>
          <w:b/>
          <w:bCs/>
          <w:lang w:val="es-ES"/>
        </w:rPr>
        <w:t>r</w:t>
      </w:r>
      <w:r w:rsidR="00F36DB3" w:rsidRPr="00B47747">
        <w:rPr>
          <w:rFonts w:cstheme="minorHAnsi"/>
          <w:b/>
          <w:bCs/>
          <w:lang w:val="es-ES"/>
        </w:rPr>
        <w:t xml:space="preserve"> las modalidades de co</w:t>
      </w:r>
      <w:r w:rsidR="006756A8" w:rsidRPr="00B47747">
        <w:rPr>
          <w:rFonts w:cstheme="minorHAnsi"/>
          <w:b/>
          <w:bCs/>
          <w:lang w:val="es-ES"/>
        </w:rPr>
        <w:t>operación</w:t>
      </w:r>
      <w:r w:rsidR="00F36DB3" w:rsidRPr="00B47747">
        <w:rPr>
          <w:rFonts w:cstheme="minorHAnsi"/>
          <w:b/>
          <w:bCs/>
          <w:lang w:val="es-ES"/>
        </w:rPr>
        <w:t xml:space="preserve"> y patrocinio</w:t>
      </w:r>
      <w:r w:rsidR="001F07C9" w:rsidRPr="00B47747">
        <w:rPr>
          <w:rFonts w:cstheme="minorHAnsi"/>
          <w:lang w:val="es-ES"/>
        </w:rPr>
        <w:t>, y poniendo</w:t>
      </w:r>
      <w:r w:rsidR="001F07C9" w:rsidRPr="00B47747">
        <w:rPr>
          <w:rFonts w:cstheme="minorHAnsi"/>
          <w:shd w:val="clear" w:color="auto" w:fill="FFFFFF"/>
        </w:rPr>
        <w:t xml:space="preserve"> a su disposición</w:t>
      </w:r>
      <w:r w:rsidR="005C3CAF" w:rsidRPr="00B47747">
        <w:rPr>
          <w:rFonts w:cstheme="minorHAnsi"/>
          <w:shd w:val="clear" w:color="auto" w:fill="FFFFFF"/>
        </w:rPr>
        <w:t xml:space="preserve"> </w:t>
      </w:r>
      <w:r w:rsidR="006756A8" w:rsidRPr="00B47747">
        <w:rPr>
          <w:rFonts w:cstheme="minorHAnsi"/>
          <w:shd w:val="clear" w:color="auto" w:fill="FFFFFF"/>
        </w:rPr>
        <w:t xml:space="preserve">toda la </w:t>
      </w:r>
      <w:r w:rsidR="005C3CAF" w:rsidRPr="00B47747">
        <w:rPr>
          <w:rFonts w:cstheme="minorHAnsi"/>
          <w:b/>
          <w:bCs/>
          <w:shd w:val="clear" w:color="auto" w:fill="FFFFFF"/>
        </w:rPr>
        <w:t xml:space="preserve">información </w:t>
      </w:r>
      <w:r w:rsidR="006756A8" w:rsidRPr="00B47747">
        <w:rPr>
          <w:rFonts w:cstheme="minorHAnsi"/>
          <w:shd w:val="clear" w:color="auto" w:fill="FFFFFF"/>
        </w:rPr>
        <w:t xml:space="preserve">que precisen </w:t>
      </w:r>
      <w:r w:rsidR="001F07C9" w:rsidRPr="00B47747">
        <w:rPr>
          <w:rFonts w:cstheme="minorHAnsi"/>
          <w:shd w:val="clear" w:color="auto" w:fill="FFFFFF"/>
        </w:rPr>
        <w:t xml:space="preserve">a </w:t>
      </w:r>
      <w:r w:rsidR="005C3CAF" w:rsidRPr="00B47747">
        <w:rPr>
          <w:rFonts w:cstheme="minorHAnsi"/>
          <w:shd w:val="clear" w:color="auto" w:fill="FFFFFF"/>
        </w:rPr>
        <w:t xml:space="preserve">través de la </w:t>
      </w:r>
      <w:r w:rsidR="005C3CAF" w:rsidRPr="00B47747">
        <w:rPr>
          <w:rFonts w:cstheme="minorHAnsi"/>
          <w:b/>
          <w:bCs/>
          <w:shd w:val="clear" w:color="auto" w:fill="FFFFFF"/>
        </w:rPr>
        <w:t>Secretaría Técnica del OOWC</w:t>
      </w:r>
      <w:r w:rsidR="006756A8" w:rsidRPr="00B47747">
        <w:rPr>
          <w:rFonts w:cstheme="minorHAnsi"/>
          <w:shd w:val="clear" w:color="auto" w:fill="FFFFFF"/>
        </w:rPr>
        <w:t xml:space="preserve">, </w:t>
      </w:r>
      <w:r w:rsidR="005C3CAF" w:rsidRPr="00B47747">
        <w:rPr>
          <w:rFonts w:cstheme="minorHAnsi"/>
          <w:shd w:val="clear" w:color="auto" w:fill="FFFFFF"/>
        </w:rPr>
        <w:t xml:space="preserve">llamando al </w:t>
      </w:r>
      <w:r w:rsidR="005C3CAF" w:rsidRPr="00B47747">
        <w:rPr>
          <w:rFonts w:cstheme="minorHAnsi"/>
          <w:b/>
          <w:bCs/>
          <w:shd w:val="clear" w:color="auto" w:fill="FFFFFF"/>
        </w:rPr>
        <w:t>91 721 79 29</w:t>
      </w:r>
      <w:r w:rsidR="005C3CAF" w:rsidRPr="00B47747">
        <w:rPr>
          <w:rFonts w:cstheme="minorHAnsi"/>
          <w:shd w:val="clear" w:color="auto" w:fill="FFFFFF"/>
        </w:rPr>
        <w:t xml:space="preserve"> o</w:t>
      </w:r>
      <w:r w:rsidR="006756A8" w:rsidRPr="00B47747">
        <w:rPr>
          <w:rFonts w:cstheme="minorHAnsi"/>
          <w:shd w:val="clear" w:color="auto" w:fill="FFFFFF"/>
        </w:rPr>
        <w:t xml:space="preserve"> remitiendo</w:t>
      </w:r>
      <w:r w:rsidR="005C3CAF" w:rsidRPr="00B47747">
        <w:rPr>
          <w:rFonts w:cstheme="minorHAnsi"/>
          <w:shd w:val="clear" w:color="auto" w:fill="FFFFFF"/>
        </w:rPr>
        <w:t xml:space="preserve"> un e</w:t>
      </w:r>
      <w:r w:rsidR="006756A8" w:rsidRPr="00B47747">
        <w:rPr>
          <w:rFonts w:cstheme="minorHAnsi"/>
          <w:shd w:val="clear" w:color="auto" w:fill="FFFFFF"/>
        </w:rPr>
        <w:t>-</w:t>
      </w:r>
      <w:r w:rsidR="005C3CAF" w:rsidRPr="00B47747">
        <w:rPr>
          <w:rFonts w:cstheme="minorHAnsi"/>
          <w:shd w:val="clear" w:color="auto" w:fill="FFFFFF"/>
        </w:rPr>
        <w:t xml:space="preserve">mail a </w:t>
      </w:r>
      <w:r w:rsidR="006756A8" w:rsidRPr="00B47747">
        <w:rPr>
          <w:rFonts w:cstheme="minorHAnsi"/>
          <w:shd w:val="clear" w:color="auto" w:fill="FFFFFF"/>
        </w:rPr>
        <w:t xml:space="preserve"> la dirección </w:t>
      </w:r>
      <w:hyperlink r:id="rId8" w:history="1">
        <w:r w:rsidR="006756A8" w:rsidRPr="00B47747">
          <w:rPr>
            <w:rStyle w:val="Hipervnculo"/>
            <w:rFonts w:cstheme="minorHAnsi"/>
            <w:b/>
            <w:bCs/>
            <w:shd w:val="clear" w:color="auto" w:fill="FFFFFF"/>
          </w:rPr>
          <w:t>info@oliveoilwc.com</w:t>
        </w:r>
      </w:hyperlink>
      <w:r w:rsidR="00F63EB0" w:rsidRPr="00B47747">
        <w:rPr>
          <w:rFonts w:eastAsia="Times New Roman" w:cstheme="minorHAnsi"/>
          <w:b/>
          <w:bCs/>
          <w:lang w:val="es-ES" w:eastAsia="es-ES"/>
        </w:rPr>
        <w:t>.</w:t>
      </w:r>
    </w:p>
    <w:p w14:paraId="483F4069" w14:textId="77777777" w:rsidR="004B7854" w:rsidRDefault="004B7854" w:rsidP="002D6E39">
      <w:pPr>
        <w:shd w:val="clear" w:color="auto" w:fill="FFFFFF"/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es-ES" w:eastAsia="es-ES"/>
        </w:rPr>
      </w:pPr>
    </w:p>
    <w:p w14:paraId="3D96D35D" w14:textId="77777777" w:rsidR="00AC7E05" w:rsidRPr="00834F0E" w:rsidRDefault="00AC7E05" w:rsidP="00AC7E05">
      <w:pPr>
        <w:jc w:val="both"/>
        <w:rPr>
          <w:rFonts w:cstheme="minorHAnsi"/>
          <w:b/>
          <w:bCs/>
          <w:sz w:val="20"/>
          <w:szCs w:val="20"/>
        </w:rPr>
      </w:pPr>
      <w:r w:rsidRPr="00834F0E">
        <w:rPr>
          <w:rFonts w:cstheme="minorHAnsi"/>
          <w:b/>
          <w:bCs/>
          <w:sz w:val="20"/>
          <w:szCs w:val="20"/>
        </w:rPr>
        <w:t>Sobre el OOWC:</w:t>
      </w:r>
    </w:p>
    <w:p w14:paraId="5E375ABE" w14:textId="77777777" w:rsidR="00781D14" w:rsidRPr="0064253C" w:rsidRDefault="00AC7E05" w:rsidP="004B7854">
      <w:pPr>
        <w:shd w:val="clear" w:color="auto" w:fill="FFFFFF"/>
        <w:spacing w:after="100" w:afterAutospacing="1" w:line="240" w:lineRule="auto"/>
        <w:jc w:val="both"/>
        <w:rPr>
          <w:rFonts w:eastAsia="Times New Roman" w:cstheme="minorHAnsi"/>
          <w:b/>
          <w:bCs/>
          <w:sz w:val="24"/>
          <w:szCs w:val="24"/>
          <w:lang w:val="es-ES" w:eastAsia="es-ES"/>
        </w:rPr>
      </w:pPr>
      <w:r w:rsidRPr="00834F0E">
        <w:rPr>
          <w:rFonts w:eastAsia="Times New Roman" w:cstheme="minorHAnsi"/>
          <w:color w:val="333333"/>
          <w:sz w:val="20"/>
          <w:szCs w:val="20"/>
          <w:lang w:eastAsia="es-ES_tradnl"/>
        </w:rPr>
        <w:lastRenderedPageBreak/>
        <w:t>El </w:t>
      </w:r>
      <w:r w:rsidRPr="00834F0E">
        <w:rPr>
          <w:rFonts w:eastAsia="Times New Roman" w:cstheme="minorHAnsi"/>
          <w:b/>
          <w:bCs/>
          <w:color w:val="333333"/>
          <w:sz w:val="20"/>
          <w:szCs w:val="20"/>
          <w:lang w:eastAsia="es-ES_tradnl"/>
        </w:rPr>
        <w:t>Congreso Mundial del Aceite de Oliva</w:t>
      </w:r>
      <w:r w:rsidRPr="00834F0E">
        <w:rPr>
          <w:rFonts w:eastAsia="Times New Roman" w:cstheme="minorHAnsi"/>
          <w:color w:val="333333"/>
          <w:sz w:val="20"/>
          <w:szCs w:val="20"/>
          <w:lang w:eastAsia="es-ES_tradnl"/>
        </w:rPr>
        <w:t> es un evento que congregará a los principales ponentes a nivel mundial en cada materia, generando conocimiento sobre las novedades e innovaciones existentes en cada eslabón de la cadena de valor. Convocará a todos los operadores del sector a nivel mundial, con el objetivo de aunar voluntades para seguir trabajando todos de forma conjunta. Teniendo en cuenta que España es el líder mundial en producción, comercialización y exportación de aceite de oliva, se ha decidido que </w:t>
      </w:r>
      <w:r w:rsidRPr="00834F0E">
        <w:rPr>
          <w:rFonts w:eastAsia="Times New Roman" w:cstheme="minorHAnsi"/>
          <w:b/>
          <w:bCs/>
          <w:color w:val="333333"/>
          <w:sz w:val="20"/>
          <w:szCs w:val="20"/>
          <w:lang w:eastAsia="es-ES_tradnl"/>
        </w:rPr>
        <w:t>la primera edición se celebraría en Madrid en 2024, pero el proyecto dará comienzo en el año 2023 con las acciones promocionales de “En ruta hacia el OOWC-2024”</w:t>
      </w:r>
      <w:r w:rsidRPr="00834F0E">
        <w:rPr>
          <w:rFonts w:eastAsia="Times New Roman" w:cstheme="minorHAnsi"/>
          <w:color w:val="333333"/>
          <w:sz w:val="20"/>
          <w:szCs w:val="20"/>
          <w:lang w:eastAsia="es-ES_tradnl"/>
        </w:rPr>
        <w:t>. Tras esta primera edición la sede será itinerante, aunque se desarrollarán </w:t>
      </w:r>
      <w:r w:rsidRPr="00834F0E">
        <w:rPr>
          <w:rFonts w:eastAsia="Times New Roman" w:cstheme="minorHAnsi"/>
          <w:b/>
          <w:bCs/>
          <w:color w:val="333333"/>
          <w:sz w:val="20"/>
          <w:szCs w:val="20"/>
          <w:lang w:eastAsia="es-ES_tradnl"/>
        </w:rPr>
        <w:t>actividades intercongresos</w:t>
      </w:r>
      <w:r w:rsidRPr="00834F0E">
        <w:rPr>
          <w:rFonts w:eastAsia="Times New Roman" w:cstheme="minorHAnsi"/>
          <w:color w:val="333333"/>
          <w:sz w:val="20"/>
          <w:szCs w:val="20"/>
          <w:lang w:eastAsia="es-ES_tradnl"/>
        </w:rPr>
        <w:t xml:space="preserve"> en todo el mundo. </w:t>
      </w:r>
      <w:r w:rsidRPr="00834F0E">
        <w:rPr>
          <w:sz w:val="20"/>
          <w:szCs w:val="20"/>
        </w:rPr>
        <w:t xml:space="preserve">Más información en: </w:t>
      </w:r>
      <w:hyperlink r:id="rId9" w:history="1">
        <w:r w:rsidRPr="00834F0E">
          <w:rPr>
            <w:rStyle w:val="Hipervnculo"/>
            <w:sz w:val="20"/>
            <w:szCs w:val="20"/>
          </w:rPr>
          <w:t>www.oliveoilworldcongress.com</w:t>
        </w:r>
      </w:hyperlink>
      <w:r w:rsidRPr="00834F0E">
        <w:rPr>
          <w:sz w:val="20"/>
          <w:szCs w:val="20"/>
        </w:rPr>
        <w:t xml:space="preserve"> y en </w:t>
      </w:r>
      <w:hyperlink r:id="rId10" w:history="1">
        <w:r w:rsidRPr="00834F0E">
          <w:rPr>
            <w:rStyle w:val="Hipervnculo"/>
            <w:sz w:val="20"/>
            <w:szCs w:val="20"/>
          </w:rPr>
          <w:t>https://www.youtube.com/watch?v=I0RkDiWJ8Gw</w:t>
        </w:r>
      </w:hyperlink>
    </w:p>
    <w:sectPr w:rsidR="00781D14" w:rsidRPr="0064253C" w:rsidSect="00483975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7DF0A" w14:textId="77777777" w:rsidR="009A65D2" w:rsidRDefault="009A65D2" w:rsidP="00E83E50">
      <w:pPr>
        <w:spacing w:after="0" w:line="240" w:lineRule="auto"/>
      </w:pPr>
      <w:r>
        <w:separator/>
      </w:r>
    </w:p>
  </w:endnote>
  <w:endnote w:type="continuationSeparator" w:id="0">
    <w:p w14:paraId="59D1A2FD" w14:textId="77777777" w:rsidR="009A65D2" w:rsidRDefault="009A65D2" w:rsidP="00E8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5A08A" w14:textId="77777777" w:rsidR="0069392A" w:rsidRDefault="0087784B">
    <w:pPr>
      <w:pStyle w:val="Piedepgina"/>
    </w:pPr>
    <w:r w:rsidRPr="00EF4CF9">
      <w:rPr>
        <w:noProof/>
        <w:sz w:val="18"/>
        <w:szCs w:val="18"/>
        <w:lang w:val="es-ES" w:eastAsia="es-ES"/>
      </w:rPr>
      <w:drawing>
        <wp:anchor distT="0" distB="0" distL="114300" distR="114300" simplePos="0" relativeHeight="251659264" behindDoc="0" locked="0" layoutInCell="1" allowOverlap="1" wp14:anchorId="29AA2D09" wp14:editId="008E6C91">
          <wp:simplePos x="0" y="0"/>
          <wp:positionH relativeFrom="margin">
            <wp:posOffset>-657860</wp:posOffset>
          </wp:positionH>
          <wp:positionV relativeFrom="margin">
            <wp:posOffset>7716578</wp:posOffset>
          </wp:positionV>
          <wp:extent cx="1000760" cy="541655"/>
          <wp:effectExtent l="0" t="0" r="0" b="0"/>
          <wp:wrapSquare wrapText="bothSides"/>
          <wp:docPr id="6" name="Imagen 6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760" cy="541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EAC9EC2" w14:textId="3B56ADA9" w:rsidR="0069392A" w:rsidRDefault="0087784B" w:rsidP="0087784B">
    <w:pPr>
      <w:jc w:val="center"/>
    </w:pPr>
    <w:r w:rsidRPr="00EF4CF9">
      <w:rPr>
        <w:noProof/>
        <w:sz w:val="18"/>
        <w:szCs w:val="18"/>
        <w:lang w:val="es-ES" w:eastAsia="es-ES"/>
      </w:rPr>
      <w:drawing>
        <wp:anchor distT="0" distB="0" distL="114300" distR="114300" simplePos="0" relativeHeight="251664384" behindDoc="0" locked="0" layoutInCell="1" allowOverlap="1" wp14:anchorId="72E7B64A" wp14:editId="3E4916E4">
          <wp:simplePos x="0" y="0"/>
          <wp:positionH relativeFrom="margin">
            <wp:posOffset>5036127</wp:posOffset>
          </wp:positionH>
          <wp:positionV relativeFrom="margin">
            <wp:posOffset>7761085</wp:posOffset>
          </wp:positionV>
          <wp:extent cx="1000760" cy="541655"/>
          <wp:effectExtent l="0" t="0" r="0" b="0"/>
          <wp:wrapSquare wrapText="bothSides"/>
          <wp:docPr id="3" name="Imagen 3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760" cy="541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7784B">
      <w:rPr>
        <w:noProof/>
        <w:sz w:val="18"/>
        <w:szCs w:val="18"/>
        <w:lang w:val="es-ES" w:eastAsia="es-ES"/>
      </w:rPr>
      <w:drawing>
        <wp:anchor distT="0" distB="0" distL="114300" distR="114300" simplePos="0" relativeHeight="251662336" behindDoc="0" locked="0" layoutInCell="1" allowOverlap="1" wp14:anchorId="14FFFE53" wp14:editId="3BCC734B">
          <wp:simplePos x="0" y="0"/>
          <wp:positionH relativeFrom="margin">
            <wp:posOffset>5189220</wp:posOffset>
          </wp:positionH>
          <wp:positionV relativeFrom="margin">
            <wp:posOffset>8891270</wp:posOffset>
          </wp:positionV>
          <wp:extent cx="1000760" cy="541655"/>
          <wp:effectExtent l="0" t="0" r="0" b="0"/>
          <wp:wrapSquare wrapText="bothSides"/>
          <wp:docPr id="4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760" cy="541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87784B">
      <w:rPr>
        <w:noProof/>
        <w:sz w:val="18"/>
        <w:szCs w:val="18"/>
        <w:lang w:val="es-ES" w:eastAsia="es-ES"/>
      </w:rPr>
      <w:drawing>
        <wp:anchor distT="0" distB="0" distL="114300" distR="114300" simplePos="0" relativeHeight="251661312" behindDoc="0" locked="0" layoutInCell="1" allowOverlap="1" wp14:anchorId="2D6FE67B" wp14:editId="38E9B52E">
          <wp:simplePos x="0" y="0"/>
          <wp:positionH relativeFrom="margin">
            <wp:posOffset>-556260</wp:posOffset>
          </wp:positionH>
          <wp:positionV relativeFrom="margin">
            <wp:posOffset>8891270</wp:posOffset>
          </wp:positionV>
          <wp:extent cx="1000760" cy="541655"/>
          <wp:effectExtent l="0" t="0" r="0" b="0"/>
          <wp:wrapSquare wrapText="bothSides"/>
          <wp:docPr id="2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760" cy="541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46C08">
      <w:rPr>
        <w:rFonts w:ascii="Calibri" w:eastAsia="Calibri" w:hAnsi="Calibri" w:cs="Calibri"/>
        <w:b/>
        <w:bCs/>
        <w:kern w:val="36"/>
        <w:sz w:val="20"/>
        <w:szCs w:val="20"/>
        <w:lang w:eastAsia="es-ES_tradnl"/>
      </w:rPr>
      <w:t>Secretaría Técnica del Olive Oil World Congress</w:t>
    </w:r>
    <w:r w:rsidRPr="0087784B">
      <w:rPr>
        <w:rFonts w:ascii="Calibri" w:eastAsia="Calibri" w:hAnsi="Calibri" w:cs="Calibri"/>
        <w:bCs/>
        <w:kern w:val="36"/>
        <w:sz w:val="20"/>
        <w:szCs w:val="20"/>
        <w:lang w:eastAsia="es-ES_tradnl"/>
      </w:rPr>
      <w:t xml:space="preserve">- 917217929 </w:t>
    </w:r>
    <w:hyperlink r:id="rId2" w:history="1">
      <w:r w:rsidRPr="0087784B">
        <w:rPr>
          <w:rFonts w:ascii="Calibri" w:eastAsia="Calibri" w:hAnsi="Calibri" w:cs="Calibri"/>
          <w:b/>
          <w:bCs/>
          <w:color w:val="0000FF"/>
          <w:kern w:val="36"/>
          <w:sz w:val="20"/>
          <w:szCs w:val="20"/>
          <w:u w:val="single"/>
          <w:lang w:eastAsia="es-ES_tradnl"/>
        </w:rPr>
        <w:t>info@oliveoilwc.com</w:t>
      </w:r>
    </w:hyperlink>
    <w:hyperlink r:id="rId3" w:history="1">
      <w:r w:rsidRPr="0087784B">
        <w:rPr>
          <w:color w:val="0000FF"/>
          <w:sz w:val="20"/>
          <w:szCs w:val="20"/>
          <w:u w:val="single"/>
          <w:lang w:val="es-ES"/>
        </w:rPr>
        <w:t>www.oliveoilworldcongress.com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C21E7" w14:textId="77777777" w:rsidR="009A65D2" w:rsidRDefault="009A65D2" w:rsidP="00E83E50">
      <w:pPr>
        <w:spacing w:after="0" w:line="240" w:lineRule="auto"/>
      </w:pPr>
      <w:r>
        <w:separator/>
      </w:r>
    </w:p>
  </w:footnote>
  <w:footnote w:type="continuationSeparator" w:id="0">
    <w:p w14:paraId="612ED66E" w14:textId="77777777" w:rsidR="009A65D2" w:rsidRDefault="009A65D2" w:rsidP="00E8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6EDAC" w14:textId="77777777" w:rsidR="00E83E50" w:rsidRDefault="00E83E50" w:rsidP="00E83E50">
    <w:pPr>
      <w:pStyle w:val="Encabezado"/>
      <w:jc w:val="center"/>
    </w:pPr>
    <w:r>
      <w:rPr>
        <w:noProof/>
        <w:lang w:val="es-ES" w:eastAsia="es-ES"/>
      </w:rPr>
      <w:drawing>
        <wp:inline distT="0" distB="0" distL="0" distR="0" wp14:anchorId="5B578286" wp14:editId="47372599">
          <wp:extent cx="2702560" cy="1463463"/>
          <wp:effectExtent l="0" t="0" r="2540" b="3810"/>
          <wp:docPr id="5" name="Imagen 5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9938" cy="14674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C8B221" w14:textId="77777777" w:rsidR="00E83E50" w:rsidRDefault="00E83E5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7410A"/>
    <w:multiLevelType w:val="multilevel"/>
    <w:tmpl w:val="A878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A74726"/>
    <w:multiLevelType w:val="hybridMultilevel"/>
    <w:tmpl w:val="FB70B8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6E1F0F"/>
    <w:multiLevelType w:val="multilevel"/>
    <w:tmpl w:val="4E4C1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B4C57CF"/>
    <w:multiLevelType w:val="hybridMultilevel"/>
    <w:tmpl w:val="C18A6DB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8397D"/>
    <w:multiLevelType w:val="hybridMultilevel"/>
    <w:tmpl w:val="481CDD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C0406"/>
    <w:multiLevelType w:val="hybridMultilevel"/>
    <w:tmpl w:val="E5AA5C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944A8"/>
    <w:multiLevelType w:val="hybridMultilevel"/>
    <w:tmpl w:val="103AC052"/>
    <w:lvl w:ilvl="0" w:tplc="012895E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D95594"/>
    <w:multiLevelType w:val="hybridMultilevel"/>
    <w:tmpl w:val="CE8AFBDE"/>
    <w:lvl w:ilvl="0" w:tplc="012895E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667237"/>
    <w:multiLevelType w:val="hybridMultilevel"/>
    <w:tmpl w:val="9CECAC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4D2A94"/>
    <w:multiLevelType w:val="hybridMultilevel"/>
    <w:tmpl w:val="3EB4DF7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143F6B"/>
    <w:multiLevelType w:val="hybridMultilevel"/>
    <w:tmpl w:val="33DCF1E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0D5087"/>
    <w:multiLevelType w:val="hybridMultilevel"/>
    <w:tmpl w:val="A3F6C1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0C0DFB"/>
    <w:multiLevelType w:val="hybridMultilevel"/>
    <w:tmpl w:val="725250D0"/>
    <w:lvl w:ilvl="0" w:tplc="C9F8D7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BD589A"/>
    <w:multiLevelType w:val="hybridMultilevel"/>
    <w:tmpl w:val="A66ABD5A"/>
    <w:lvl w:ilvl="0" w:tplc="FFFFFFFF">
      <w:start w:val="1"/>
      <w:numFmt w:val="bullet"/>
      <w:lvlText w:val="•"/>
      <w:lvlJc w:val="left"/>
    </w:lvl>
    <w:lvl w:ilvl="1" w:tplc="012895E6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6CFC3CAF"/>
    <w:multiLevelType w:val="hybridMultilevel"/>
    <w:tmpl w:val="7398F9A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B71CE3"/>
    <w:multiLevelType w:val="hybridMultilevel"/>
    <w:tmpl w:val="BF7217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3219075">
    <w:abstractNumId w:val="0"/>
  </w:num>
  <w:num w:numId="2" w16cid:durableId="48501718">
    <w:abstractNumId w:val="2"/>
  </w:num>
  <w:num w:numId="3" w16cid:durableId="1204714702">
    <w:abstractNumId w:val="13"/>
  </w:num>
  <w:num w:numId="4" w16cid:durableId="459610117">
    <w:abstractNumId w:val="6"/>
  </w:num>
  <w:num w:numId="5" w16cid:durableId="437288742">
    <w:abstractNumId w:val="7"/>
  </w:num>
  <w:num w:numId="6" w16cid:durableId="335502303">
    <w:abstractNumId w:val="9"/>
  </w:num>
  <w:num w:numId="7" w16cid:durableId="491800620">
    <w:abstractNumId w:val="12"/>
  </w:num>
  <w:num w:numId="8" w16cid:durableId="1460344759">
    <w:abstractNumId w:val="11"/>
  </w:num>
  <w:num w:numId="9" w16cid:durableId="536624066">
    <w:abstractNumId w:val="1"/>
  </w:num>
  <w:num w:numId="10" w16cid:durableId="1014385559">
    <w:abstractNumId w:val="8"/>
  </w:num>
  <w:num w:numId="11" w16cid:durableId="512768205">
    <w:abstractNumId w:val="5"/>
  </w:num>
  <w:num w:numId="12" w16cid:durableId="550456093">
    <w:abstractNumId w:val="10"/>
  </w:num>
  <w:num w:numId="13" w16cid:durableId="1154490265">
    <w:abstractNumId w:val="14"/>
  </w:num>
  <w:num w:numId="14" w16cid:durableId="84350493">
    <w:abstractNumId w:val="3"/>
  </w:num>
  <w:num w:numId="15" w16cid:durableId="819736788">
    <w:abstractNumId w:val="15"/>
  </w:num>
  <w:num w:numId="16" w16cid:durableId="11523315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542"/>
    <w:rsid w:val="00005EB0"/>
    <w:rsid w:val="00006A78"/>
    <w:rsid w:val="000132DE"/>
    <w:rsid w:val="00014AFE"/>
    <w:rsid w:val="00015C53"/>
    <w:rsid w:val="0002057D"/>
    <w:rsid w:val="0002287D"/>
    <w:rsid w:val="00031325"/>
    <w:rsid w:val="0003212E"/>
    <w:rsid w:val="00041056"/>
    <w:rsid w:val="0004236C"/>
    <w:rsid w:val="00042380"/>
    <w:rsid w:val="000441A9"/>
    <w:rsid w:val="00051A4C"/>
    <w:rsid w:val="00053227"/>
    <w:rsid w:val="000534F5"/>
    <w:rsid w:val="0006277D"/>
    <w:rsid w:val="00065D16"/>
    <w:rsid w:val="00070321"/>
    <w:rsid w:val="0007450C"/>
    <w:rsid w:val="00075058"/>
    <w:rsid w:val="00075CB9"/>
    <w:rsid w:val="000761AD"/>
    <w:rsid w:val="000774C6"/>
    <w:rsid w:val="00082A96"/>
    <w:rsid w:val="0008404D"/>
    <w:rsid w:val="000871F5"/>
    <w:rsid w:val="000900C2"/>
    <w:rsid w:val="00093D24"/>
    <w:rsid w:val="000943DF"/>
    <w:rsid w:val="00094D3B"/>
    <w:rsid w:val="000A1A75"/>
    <w:rsid w:val="000A1B49"/>
    <w:rsid w:val="000B071B"/>
    <w:rsid w:val="000B3546"/>
    <w:rsid w:val="000B36D6"/>
    <w:rsid w:val="000B4B9A"/>
    <w:rsid w:val="000B6521"/>
    <w:rsid w:val="000C0D5A"/>
    <w:rsid w:val="000C53C6"/>
    <w:rsid w:val="000E3BE4"/>
    <w:rsid w:val="000E41CC"/>
    <w:rsid w:val="000E7AFE"/>
    <w:rsid w:val="000F09C1"/>
    <w:rsid w:val="000F3436"/>
    <w:rsid w:val="000F4826"/>
    <w:rsid w:val="000F57EC"/>
    <w:rsid w:val="00102B40"/>
    <w:rsid w:val="00117186"/>
    <w:rsid w:val="0012136E"/>
    <w:rsid w:val="001259C4"/>
    <w:rsid w:val="00127A74"/>
    <w:rsid w:val="00131EF2"/>
    <w:rsid w:val="00132F86"/>
    <w:rsid w:val="00147A26"/>
    <w:rsid w:val="00161330"/>
    <w:rsid w:val="00161DB7"/>
    <w:rsid w:val="0016297D"/>
    <w:rsid w:val="001642AB"/>
    <w:rsid w:val="001679A1"/>
    <w:rsid w:val="00183454"/>
    <w:rsid w:val="0019401B"/>
    <w:rsid w:val="001A0B0B"/>
    <w:rsid w:val="001B0B6C"/>
    <w:rsid w:val="001B1596"/>
    <w:rsid w:val="001B1B4B"/>
    <w:rsid w:val="001B3265"/>
    <w:rsid w:val="001B33CD"/>
    <w:rsid w:val="001D6000"/>
    <w:rsid w:val="001D7236"/>
    <w:rsid w:val="001D783B"/>
    <w:rsid w:val="001D7C94"/>
    <w:rsid w:val="001E2C05"/>
    <w:rsid w:val="001E5941"/>
    <w:rsid w:val="001F07C9"/>
    <w:rsid w:val="001F46B5"/>
    <w:rsid w:val="001F5128"/>
    <w:rsid w:val="00204504"/>
    <w:rsid w:val="00205295"/>
    <w:rsid w:val="00207889"/>
    <w:rsid w:val="00210FF9"/>
    <w:rsid w:val="002125B4"/>
    <w:rsid w:val="00212BA6"/>
    <w:rsid w:val="002132C7"/>
    <w:rsid w:val="00226D13"/>
    <w:rsid w:val="00227A25"/>
    <w:rsid w:val="00236CFD"/>
    <w:rsid w:val="002371BB"/>
    <w:rsid w:val="002442D0"/>
    <w:rsid w:val="00244631"/>
    <w:rsid w:val="0025154F"/>
    <w:rsid w:val="002519EF"/>
    <w:rsid w:val="00252B17"/>
    <w:rsid w:val="00256411"/>
    <w:rsid w:val="002671C3"/>
    <w:rsid w:val="0026779E"/>
    <w:rsid w:val="00271D80"/>
    <w:rsid w:val="002737F7"/>
    <w:rsid w:val="002743A6"/>
    <w:rsid w:val="00274C6B"/>
    <w:rsid w:val="00275C63"/>
    <w:rsid w:val="002779EA"/>
    <w:rsid w:val="00280EC9"/>
    <w:rsid w:val="00283D1F"/>
    <w:rsid w:val="00284AE7"/>
    <w:rsid w:val="00286536"/>
    <w:rsid w:val="002871CA"/>
    <w:rsid w:val="00287D4E"/>
    <w:rsid w:val="00290877"/>
    <w:rsid w:val="00291EC9"/>
    <w:rsid w:val="002929CC"/>
    <w:rsid w:val="00295AE6"/>
    <w:rsid w:val="002A262E"/>
    <w:rsid w:val="002A3B90"/>
    <w:rsid w:val="002A4A0F"/>
    <w:rsid w:val="002B1B7B"/>
    <w:rsid w:val="002C48D2"/>
    <w:rsid w:val="002D0649"/>
    <w:rsid w:val="002D6E39"/>
    <w:rsid w:val="002D70D6"/>
    <w:rsid w:val="002E20E5"/>
    <w:rsid w:val="002E5B72"/>
    <w:rsid w:val="002E5D25"/>
    <w:rsid w:val="002E632C"/>
    <w:rsid w:val="002E6828"/>
    <w:rsid w:val="002F0ADC"/>
    <w:rsid w:val="002F7EE3"/>
    <w:rsid w:val="003005E9"/>
    <w:rsid w:val="003008D2"/>
    <w:rsid w:val="00305E84"/>
    <w:rsid w:val="003064DE"/>
    <w:rsid w:val="0030750C"/>
    <w:rsid w:val="00313A2B"/>
    <w:rsid w:val="00315CC5"/>
    <w:rsid w:val="003172B0"/>
    <w:rsid w:val="003202A5"/>
    <w:rsid w:val="003215B7"/>
    <w:rsid w:val="00333DDF"/>
    <w:rsid w:val="003434A0"/>
    <w:rsid w:val="00344F43"/>
    <w:rsid w:val="00345950"/>
    <w:rsid w:val="00350FC1"/>
    <w:rsid w:val="003540CA"/>
    <w:rsid w:val="00354AB2"/>
    <w:rsid w:val="00363EF3"/>
    <w:rsid w:val="00364427"/>
    <w:rsid w:val="00370E47"/>
    <w:rsid w:val="003735A8"/>
    <w:rsid w:val="00387386"/>
    <w:rsid w:val="00394F40"/>
    <w:rsid w:val="00396DE6"/>
    <w:rsid w:val="0039736B"/>
    <w:rsid w:val="003A03B0"/>
    <w:rsid w:val="003A38A8"/>
    <w:rsid w:val="003A6A76"/>
    <w:rsid w:val="003A765F"/>
    <w:rsid w:val="003B02B8"/>
    <w:rsid w:val="003B3D1E"/>
    <w:rsid w:val="003B6F10"/>
    <w:rsid w:val="003B7B41"/>
    <w:rsid w:val="003C0EA8"/>
    <w:rsid w:val="003D2F63"/>
    <w:rsid w:val="003E0A54"/>
    <w:rsid w:val="003E4234"/>
    <w:rsid w:val="003F25EE"/>
    <w:rsid w:val="003F443E"/>
    <w:rsid w:val="003F59A0"/>
    <w:rsid w:val="00405B8C"/>
    <w:rsid w:val="0041138A"/>
    <w:rsid w:val="00411789"/>
    <w:rsid w:val="00411BDD"/>
    <w:rsid w:val="00420B50"/>
    <w:rsid w:val="00422D19"/>
    <w:rsid w:val="0042466C"/>
    <w:rsid w:val="00425133"/>
    <w:rsid w:val="00426B77"/>
    <w:rsid w:val="00426F64"/>
    <w:rsid w:val="00432F15"/>
    <w:rsid w:val="00434260"/>
    <w:rsid w:val="004378C3"/>
    <w:rsid w:val="00437902"/>
    <w:rsid w:val="004458EA"/>
    <w:rsid w:val="004466C2"/>
    <w:rsid w:val="0045314D"/>
    <w:rsid w:val="004568B3"/>
    <w:rsid w:val="00462EA9"/>
    <w:rsid w:val="00463065"/>
    <w:rsid w:val="00467D38"/>
    <w:rsid w:val="00482EA6"/>
    <w:rsid w:val="00483975"/>
    <w:rsid w:val="00484AF3"/>
    <w:rsid w:val="0048760E"/>
    <w:rsid w:val="00491164"/>
    <w:rsid w:val="004914EC"/>
    <w:rsid w:val="004931D0"/>
    <w:rsid w:val="0049355F"/>
    <w:rsid w:val="00496756"/>
    <w:rsid w:val="004A07FF"/>
    <w:rsid w:val="004A1E96"/>
    <w:rsid w:val="004A21F4"/>
    <w:rsid w:val="004A4821"/>
    <w:rsid w:val="004A5664"/>
    <w:rsid w:val="004A6319"/>
    <w:rsid w:val="004B2C57"/>
    <w:rsid w:val="004B314C"/>
    <w:rsid w:val="004B31BF"/>
    <w:rsid w:val="004B7854"/>
    <w:rsid w:val="004C2BDE"/>
    <w:rsid w:val="004D5B22"/>
    <w:rsid w:val="004E198B"/>
    <w:rsid w:val="004E2AA9"/>
    <w:rsid w:val="004E4A2E"/>
    <w:rsid w:val="00502139"/>
    <w:rsid w:val="0050462B"/>
    <w:rsid w:val="00504C18"/>
    <w:rsid w:val="005057B4"/>
    <w:rsid w:val="005067A1"/>
    <w:rsid w:val="00510EDC"/>
    <w:rsid w:val="00511EB3"/>
    <w:rsid w:val="0051216C"/>
    <w:rsid w:val="00512F04"/>
    <w:rsid w:val="005149A6"/>
    <w:rsid w:val="00514CD1"/>
    <w:rsid w:val="00516074"/>
    <w:rsid w:val="00517286"/>
    <w:rsid w:val="005223EC"/>
    <w:rsid w:val="00533C55"/>
    <w:rsid w:val="00537138"/>
    <w:rsid w:val="005401EA"/>
    <w:rsid w:val="00542BAB"/>
    <w:rsid w:val="005452A8"/>
    <w:rsid w:val="00551B2A"/>
    <w:rsid w:val="00554271"/>
    <w:rsid w:val="005651D7"/>
    <w:rsid w:val="005663AE"/>
    <w:rsid w:val="0057346A"/>
    <w:rsid w:val="00574499"/>
    <w:rsid w:val="00574FC7"/>
    <w:rsid w:val="00591AE9"/>
    <w:rsid w:val="00594212"/>
    <w:rsid w:val="005A3A9E"/>
    <w:rsid w:val="005A70A0"/>
    <w:rsid w:val="005C094B"/>
    <w:rsid w:val="005C1F82"/>
    <w:rsid w:val="005C2A1D"/>
    <w:rsid w:val="005C3CAF"/>
    <w:rsid w:val="005C71D1"/>
    <w:rsid w:val="005C76DD"/>
    <w:rsid w:val="005D73B9"/>
    <w:rsid w:val="005E17FC"/>
    <w:rsid w:val="005E5C63"/>
    <w:rsid w:val="005F1564"/>
    <w:rsid w:val="005F75AD"/>
    <w:rsid w:val="00603D3A"/>
    <w:rsid w:val="00606125"/>
    <w:rsid w:val="0060638E"/>
    <w:rsid w:val="006078C8"/>
    <w:rsid w:val="00607930"/>
    <w:rsid w:val="00607FDC"/>
    <w:rsid w:val="0062037B"/>
    <w:rsid w:val="00620542"/>
    <w:rsid w:val="00620567"/>
    <w:rsid w:val="00630F01"/>
    <w:rsid w:val="006329F0"/>
    <w:rsid w:val="0063346A"/>
    <w:rsid w:val="0064253C"/>
    <w:rsid w:val="00643538"/>
    <w:rsid w:val="00644BCE"/>
    <w:rsid w:val="006479E5"/>
    <w:rsid w:val="00647B3D"/>
    <w:rsid w:val="00651CC6"/>
    <w:rsid w:val="006531E2"/>
    <w:rsid w:val="00654018"/>
    <w:rsid w:val="0066163A"/>
    <w:rsid w:val="006735C1"/>
    <w:rsid w:val="00674EED"/>
    <w:rsid w:val="0067511F"/>
    <w:rsid w:val="006751D5"/>
    <w:rsid w:val="006756A8"/>
    <w:rsid w:val="00682DD4"/>
    <w:rsid w:val="00683315"/>
    <w:rsid w:val="006844FB"/>
    <w:rsid w:val="00687654"/>
    <w:rsid w:val="0069392A"/>
    <w:rsid w:val="00693F02"/>
    <w:rsid w:val="00695914"/>
    <w:rsid w:val="006A0EEE"/>
    <w:rsid w:val="006A2274"/>
    <w:rsid w:val="006A2A31"/>
    <w:rsid w:val="006A7C6C"/>
    <w:rsid w:val="006B1AA6"/>
    <w:rsid w:val="006B33B3"/>
    <w:rsid w:val="006C2B9C"/>
    <w:rsid w:val="006C4211"/>
    <w:rsid w:val="006D022D"/>
    <w:rsid w:val="006D58F1"/>
    <w:rsid w:val="006E6EC3"/>
    <w:rsid w:val="006F28FC"/>
    <w:rsid w:val="006F6175"/>
    <w:rsid w:val="00701ABA"/>
    <w:rsid w:val="00701C32"/>
    <w:rsid w:val="00702987"/>
    <w:rsid w:val="0070501E"/>
    <w:rsid w:val="00715978"/>
    <w:rsid w:val="0071737F"/>
    <w:rsid w:val="0072123A"/>
    <w:rsid w:val="00724669"/>
    <w:rsid w:val="00732634"/>
    <w:rsid w:val="00734AE0"/>
    <w:rsid w:val="00736951"/>
    <w:rsid w:val="00736E79"/>
    <w:rsid w:val="00736F81"/>
    <w:rsid w:val="00740509"/>
    <w:rsid w:val="007474C6"/>
    <w:rsid w:val="00752F2A"/>
    <w:rsid w:val="00761226"/>
    <w:rsid w:val="0076579C"/>
    <w:rsid w:val="0076621A"/>
    <w:rsid w:val="00767194"/>
    <w:rsid w:val="00775ADD"/>
    <w:rsid w:val="0077675C"/>
    <w:rsid w:val="00777B7E"/>
    <w:rsid w:val="00781D14"/>
    <w:rsid w:val="007826CC"/>
    <w:rsid w:val="00787BD1"/>
    <w:rsid w:val="00791465"/>
    <w:rsid w:val="00793036"/>
    <w:rsid w:val="007B254D"/>
    <w:rsid w:val="007B3630"/>
    <w:rsid w:val="007C07E7"/>
    <w:rsid w:val="007C2223"/>
    <w:rsid w:val="007D1095"/>
    <w:rsid w:val="007E125A"/>
    <w:rsid w:val="007E41C2"/>
    <w:rsid w:val="007E4942"/>
    <w:rsid w:val="007F422E"/>
    <w:rsid w:val="007F5A6D"/>
    <w:rsid w:val="007F74AD"/>
    <w:rsid w:val="0080310A"/>
    <w:rsid w:val="00804C7B"/>
    <w:rsid w:val="00812019"/>
    <w:rsid w:val="00813079"/>
    <w:rsid w:val="008142BE"/>
    <w:rsid w:val="00822694"/>
    <w:rsid w:val="00822B06"/>
    <w:rsid w:val="00822F4D"/>
    <w:rsid w:val="00827249"/>
    <w:rsid w:val="0083209C"/>
    <w:rsid w:val="00832910"/>
    <w:rsid w:val="00832B76"/>
    <w:rsid w:val="00834F0E"/>
    <w:rsid w:val="00842793"/>
    <w:rsid w:val="00843F87"/>
    <w:rsid w:val="00846C08"/>
    <w:rsid w:val="00850DF6"/>
    <w:rsid w:val="00850E41"/>
    <w:rsid w:val="008530D8"/>
    <w:rsid w:val="0085718D"/>
    <w:rsid w:val="00860955"/>
    <w:rsid w:val="00871E40"/>
    <w:rsid w:val="00874782"/>
    <w:rsid w:val="00876251"/>
    <w:rsid w:val="0087784B"/>
    <w:rsid w:val="00881BEF"/>
    <w:rsid w:val="008850EC"/>
    <w:rsid w:val="008904EA"/>
    <w:rsid w:val="00892F2C"/>
    <w:rsid w:val="0089347D"/>
    <w:rsid w:val="00897354"/>
    <w:rsid w:val="008A1561"/>
    <w:rsid w:val="008A435D"/>
    <w:rsid w:val="008A539A"/>
    <w:rsid w:val="008A6905"/>
    <w:rsid w:val="008B6695"/>
    <w:rsid w:val="008B74D2"/>
    <w:rsid w:val="008F004E"/>
    <w:rsid w:val="008F17C1"/>
    <w:rsid w:val="008F23D4"/>
    <w:rsid w:val="008F3A2B"/>
    <w:rsid w:val="008F3C26"/>
    <w:rsid w:val="008F5F79"/>
    <w:rsid w:val="008F62FF"/>
    <w:rsid w:val="008F67B5"/>
    <w:rsid w:val="009000B6"/>
    <w:rsid w:val="0090388E"/>
    <w:rsid w:val="00903C30"/>
    <w:rsid w:val="009140BC"/>
    <w:rsid w:val="00921D52"/>
    <w:rsid w:val="00922757"/>
    <w:rsid w:val="00931BBB"/>
    <w:rsid w:val="0093428E"/>
    <w:rsid w:val="00935D02"/>
    <w:rsid w:val="00937F2E"/>
    <w:rsid w:val="00943545"/>
    <w:rsid w:val="00950101"/>
    <w:rsid w:val="009509E2"/>
    <w:rsid w:val="00954F91"/>
    <w:rsid w:val="00956236"/>
    <w:rsid w:val="0096161B"/>
    <w:rsid w:val="00967344"/>
    <w:rsid w:val="0096771D"/>
    <w:rsid w:val="009706DE"/>
    <w:rsid w:val="00973300"/>
    <w:rsid w:val="0097389C"/>
    <w:rsid w:val="00977838"/>
    <w:rsid w:val="00977DBC"/>
    <w:rsid w:val="00982675"/>
    <w:rsid w:val="00982851"/>
    <w:rsid w:val="00982980"/>
    <w:rsid w:val="00982BA6"/>
    <w:rsid w:val="009831F6"/>
    <w:rsid w:val="00983495"/>
    <w:rsid w:val="00985430"/>
    <w:rsid w:val="00990A22"/>
    <w:rsid w:val="0099363E"/>
    <w:rsid w:val="00996248"/>
    <w:rsid w:val="009A40ED"/>
    <w:rsid w:val="009A65D2"/>
    <w:rsid w:val="009A6E6B"/>
    <w:rsid w:val="009B2218"/>
    <w:rsid w:val="009B227F"/>
    <w:rsid w:val="009B2422"/>
    <w:rsid w:val="009B4BD9"/>
    <w:rsid w:val="009D0A3C"/>
    <w:rsid w:val="009D283F"/>
    <w:rsid w:val="009E526E"/>
    <w:rsid w:val="009E7951"/>
    <w:rsid w:val="009F2706"/>
    <w:rsid w:val="009F5705"/>
    <w:rsid w:val="00A017BB"/>
    <w:rsid w:val="00A0431C"/>
    <w:rsid w:val="00A13F02"/>
    <w:rsid w:val="00A208AE"/>
    <w:rsid w:val="00A22B6B"/>
    <w:rsid w:val="00A23EC3"/>
    <w:rsid w:val="00A25E54"/>
    <w:rsid w:val="00A26B6C"/>
    <w:rsid w:val="00A326FB"/>
    <w:rsid w:val="00A374AF"/>
    <w:rsid w:val="00A37D53"/>
    <w:rsid w:val="00A45B85"/>
    <w:rsid w:val="00A46C93"/>
    <w:rsid w:val="00A50FE5"/>
    <w:rsid w:val="00A52447"/>
    <w:rsid w:val="00A54A14"/>
    <w:rsid w:val="00A56F1B"/>
    <w:rsid w:val="00A62ADA"/>
    <w:rsid w:val="00A665EE"/>
    <w:rsid w:val="00A709B7"/>
    <w:rsid w:val="00A7145D"/>
    <w:rsid w:val="00A75399"/>
    <w:rsid w:val="00A75CB8"/>
    <w:rsid w:val="00A808E6"/>
    <w:rsid w:val="00A80DCD"/>
    <w:rsid w:val="00A83F6D"/>
    <w:rsid w:val="00A93091"/>
    <w:rsid w:val="00A95C18"/>
    <w:rsid w:val="00AA2099"/>
    <w:rsid w:val="00AA2188"/>
    <w:rsid w:val="00AA4152"/>
    <w:rsid w:val="00AB2070"/>
    <w:rsid w:val="00AC0E8F"/>
    <w:rsid w:val="00AC33D4"/>
    <w:rsid w:val="00AC4BBE"/>
    <w:rsid w:val="00AC7E05"/>
    <w:rsid w:val="00AD0E0A"/>
    <w:rsid w:val="00AD1653"/>
    <w:rsid w:val="00AD4D15"/>
    <w:rsid w:val="00AD5627"/>
    <w:rsid w:val="00AD6C1D"/>
    <w:rsid w:val="00AD7765"/>
    <w:rsid w:val="00AE1664"/>
    <w:rsid w:val="00AE1679"/>
    <w:rsid w:val="00AF2B0A"/>
    <w:rsid w:val="00AF6182"/>
    <w:rsid w:val="00AF65A1"/>
    <w:rsid w:val="00B0198C"/>
    <w:rsid w:val="00B102A6"/>
    <w:rsid w:val="00B11FAE"/>
    <w:rsid w:val="00B1563F"/>
    <w:rsid w:val="00B21E14"/>
    <w:rsid w:val="00B24D33"/>
    <w:rsid w:val="00B261DC"/>
    <w:rsid w:val="00B27B53"/>
    <w:rsid w:val="00B27CA7"/>
    <w:rsid w:val="00B3764F"/>
    <w:rsid w:val="00B42A88"/>
    <w:rsid w:val="00B47747"/>
    <w:rsid w:val="00B512F3"/>
    <w:rsid w:val="00B5182E"/>
    <w:rsid w:val="00B562E8"/>
    <w:rsid w:val="00B569A0"/>
    <w:rsid w:val="00B62146"/>
    <w:rsid w:val="00B650C4"/>
    <w:rsid w:val="00B65BA1"/>
    <w:rsid w:val="00B70562"/>
    <w:rsid w:val="00B70A84"/>
    <w:rsid w:val="00B75742"/>
    <w:rsid w:val="00B80016"/>
    <w:rsid w:val="00B81B78"/>
    <w:rsid w:val="00B864C0"/>
    <w:rsid w:val="00B875EC"/>
    <w:rsid w:val="00B93FE3"/>
    <w:rsid w:val="00B949AC"/>
    <w:rsid w:val="00B94ABC"/>
    <w:rsid w:val="00BA0BAC"/>
    <w:rsid w:val="00BA35CF"/>
    <w:rsid w:val="00BA70C3"/>
    <w:rsid w:val="00BB653D"/>
    <w:rsid w:val="00BB6D99"/>
    <w:rsid w:val="00BC0144"/>
    <w:rsid w:val="00BC0651"/>
    <w:rsid w:val="00BD2938"/>
    <w:rsid w:val="00BD79A2"/>
    <w:rsid w:val="00BF4C0F"/>
    <w:rsid w:val="00BF5A37"/>
    <w:rsid w:val="00BF753B"/>
    <w:rsid w:val="00C0218C"/>
    <w:rsid w:val="00C0430B"/>
    <w:rsid w:val="00C073CF"/>
    <w:rsid w:val="00C25C5F"/>
    <w:rsid w:val="00C34A14"/>
    <w:rsid w:val="00C46C6F"/>
    <w:rsid w:val="00C5177A"/>
    <w:rsid w:val="00C52866"/>
    <w:rsid w:val="00C571A4"/>
    <w:rsid w:val="00C644B3"/>
    <w:rsid w:val="00C67BA2"/>
    <w:rsid w:val="00C67F83"/>
    <w:rsid w:val="00C74BF2"/>
    <w:rsid w:val="00C77277"/>
    <w:rsid w:val="00C82F75"/>
    <w:rsid w:val="00C84538"/>
    <w:rsid w:val="00C865F3"/>
    <w:rsid w:val="00C8727B"/>
    <w:rsid w:val="00C907F0"/>
    <w:rsid w:val="00CA1C1E"/>
    <w:rsid w:val="00CA1E04"/>
    <w:rsid w:val="00CA474B"/>
    <w:rsid w:val="00CA5B86"/>
    <w:rsid w:val="00CB2A4B"/>
    <w:rsid w:val="00CB42E0"/>
    <w:rsid w:val="00CC6739"/>
    <w:rsid w:val="00CC75A5"/>
    <w:rsid w:val="00CD22B3"/>
    <w:rsid w:val="00CD533B"/>
    <w:rsid w:val="00CD6D68"/>
    <w:rsid w:val="00CD7EBC"/>
    <w:rsid w:val="00CE51B6"/>
    <w:rsid w:val="00CF1313"/>
    <w:rsid w:val="00CF1DC0"/>
    <w:rsid w:val="00CF2355"/>
    <w:rsid w:val="00CF2F48"/>
    <w:rsid w:val="00CF3EA8"/>
    <w:rsid w:val="00D01D48"/>
    <w:rsid w:val="00D0738A"/>
    <w:rsid w:val="00D140E4"/>
    <w:rsid w:val="00D140FF"/>
    <w:rsid w:val="00D211A6"/>
    <w:rsid w:val="00D268F4"/>
    <w:rsid w:val="00D27121"/>
    <w:rsid w:val="00D35796"/>
    <w:rsid w:val="00D37F92"/>
    <w:rsid w:val="00D434E5"/>
    <w:rsid w:val="00D47F92"/>
    <w:rsid w:val="00D563A3"/>
    <w:rsid w:val="00D5683D"/>
    <w:rsid w:val="00D60F5F"/>
    <w:rsid w:val="00D636D3"/>
    <w:rsid w:val="00D66958"/>
    <w:rsid w:val="00D7254C"/>
    <w:rsid w:val="00D73675"/>
    <w:rsid w:val="00D8242E"/>
    <w:rsid w:val="00D86CDB"/>
    <w:rsid w:val="00D87A19"/>
    <w:rsid w:val="00D92DB2"/>
    <w:rsid w:val="00D94727"/>
    <w:rsid w:val="00D977BD"/>
    <w:rsid w:val="00DA0052"/>
    <w:rsid w:val="00DA5FE9"/>
    <w:rsid w:val="00DB2422"/>
    <w:rsid w:val="00DB78B2"/>
    <w:rsid w:val="00DC44DA"/>
    <w:rsid w:val="00DD59C3"/>
    <w:rsid w:val="00DE3126"/>
    <w:rsid w:val="00E04E41"/>
    <w:rsid w:val="00E1158D"/>
    <w:rsid w:val="00E31B55"/>
    <w:rsid w:val="00E3221D"/>
    <w:rsid w:val="00E32EFC"/>
    <w:rsid w:val="00E4529C"/>
    <w:rsid w:val="00E504A9"/>
    <w:rsid w:val="00E626F7"/>
    <w:rsid w:val="00E642B6"/>
    <w:rsid w:val="00E71271"/>
    <w:rsid w:val="00E75156"/>
    <w:rsid w:val="00E77F7A"/>
    <w:rsid w:val="00E82758"/>
    <w:rsid w:val="00E83E50"/>
    <w:rsid w:val="00E862FF"/>
    <w:rsid w:val="00E871BC"/>
    <w:rsid w:val="00E9310C"/>
    <w:rsid w:val="00E97CF1"/>
    <w:rsid w:val="00EA3526"/>
    <w:rsid w:val="00EA7213"/>
    <w:rsid w:val="00EB53BA"/>
    <w:rsid w:val="00EB6CA9"/>
    <w:rsid w:val="00EC0289"/>
    <w:rsid w:val="00EC6660"/>
    <w:rsid w:val="00ED2935"/>
    <w:rsid w:val="00EE18B2"/>
    <w:rsid w:val="00EE23C3"/>
    <w:rsid w:val="00EE62BF"/>
    <w:rsid w:val="00EF0C4D"/>
    <w:rsid w:val="00EF1B3A"/>
    <w:rsid w:val="00EF3915"/>
    <w:rsid w:val="00F06782"/>
    <w:rsid w:val="00F0736C"/>
    <w:rsid w:val="00F07929"/>
    <w:rsid w:val="00F123C5"/>
    <w:rsid w:val="00F1464B"/>
    <w:rsid w:val="00F226CA"/>
    <w:rsid w:val="00F27A88"/>
    <w:rsid w:val="00F27E81"/>
    <w:rsid w:val="00F30175"/>
    <w:rsid w:val="00F33B82"/>
    <w:rsid w:val="00F34B05"/>
    <w:rsid w:val="00F36DB3"/>
    <w:rsid w:val="00F44D48"/>
    <w:rsid w:val="00F529C0"/>
    <w:rsid w:val="00F546CC"/>
    <w:rsid w:val="00F564E5"/>
    <w:rsid w:val="00F609E1"/>
    <w:rsid w:val="00F6115D"/>
    <w:rsid w:val="00F6156C"/>
    <w:rsid w:val="00F63EB0"/>
    <w:rsid w:val="00F65410"/>
    <w:rsid w:val="00F75DC4"/>
    <w:rsid w:val="00F7655D"/>
    <w:rsid w:val="00F82981"/>
    <w:rsid w:val="00F9083E"/>
    <w:rsid w:val="00F927B3"/>
    <w:rsid w:val="00F9621A"/>
    <w:rsid w:val="00FA636F"/>
    <w:rsid w:val="00FA7A35"/>
    <w:rsid w:val="00FB3693"/>
    <w:rsid w:val="00FC02D3"/>
    <w:rsid w:val="00FC1553"/>
    <w:rsid w:val="00FC2E44"/>
    <w:rsid w:val="00FC7D71"/>
    <w:rsid w:val="00FD4C9B"/>
    <w:rsid w:val="00FE05AB"/>
    <w:rsid w:val="00FE0609"/>
    <w:rsid w:val="00FE253E"/>
    <w:rsid w:val="00FE594D"/>
    <w:rsid w:val="00FF157A"/>
    <w:rsid w:val="00FF1C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2D8BE"/>
  <w15:docId w15:val="{D2B7FF16-9DFE-4FEA-8962-69956A288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1679"/>
    <w:rPr>
      <w:lang w:val="es-ES_tradnl"/>
    </w:rPr>
  </w:style>
  <w:style w:type="paragraph" w:styleId="Ttulo1">
    <w:name w:val="heading 1"/>
    <w:basedOn w:val="Normal"/>
    <w:link w:val="Ttulo1Car"/>
    <w:uiPriority w:val="9"/>
    <w:qFormat/>
    <w:rsid w:val="006205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F1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D022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20542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customStyle="1" w:styleId="first-child">
    <w:name w:val="first-child"/>
    <w:basedOn w:val="Normal"/>
    <w:rsid w:val="00620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Fuerte">
    <w:name w:val="Strong"/>
    <w:basedOn w:val="Fuentedeprrafopredeter"/>
    <w:uiPriority w:val="22"/>
    <w:qFormat/>
    <w:rsid w:val="00620542"/>
    <w:rPr>
      <w:b/>
      <w:bCs/>
    </w:rPr>
  </w:style>
  <w:style w:type="paragraph" w:customStyle="1" w:styleId="last-child">
    <w:name w:val="last-child"/>
    <w:basedOn w:val="Normal"/>
    <w:rsid w:val="00620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62054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205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83E5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E83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83E50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E83E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E50"/>
    <w:rPr>
      <w:lang w:val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E83E50"/>
    <w:rPr>
      <w:color w:val="954F72" w:themeColor="followedHyperlink"/>
      <w:u w:val="single"/>
    </w:rPr>
  </w:style>
  <w:style w:type="paragraph" w:customStyle="1" w:styleId="m1909010295309559315msolistparagraph">
    <w:name w:val="m_1909010295309559315msolistparagraph"/>
    <w:basedOn w:val="Normal"/>
    <w:rsid w:val="008120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Prrafodelista">
    <w:name w:val="List Paragraph"/>
    <w:basedOn w:val="Normal"/>
    <w:uiPriority w:val="34"/>
    <w:qFormat/>
    <w:rsid w:val="00752F2A"/>
    <w:pPr>
      <w:ind w:left="720"/>
      <w:contextualSpacing/>
    </w:pPr>
  </w:style>
  <w:style w:type="paragraph" w:styleId="Revisin">
    <w:name w:val="Revision"/>
    <w:hidden/>
    <w:uiPriority w:val="99"/>
    <w:semiHidden/>
    <w:rsid w:val="000132DE"/>
    <w:pPr>
      <w:spacing w:after="0" w:line="240" w:lineRule="auto"/>
    </w:pPr>
    <w:rPr>
      <w:lang w:val="es-ES_tradnl"/>
    </w:rPr>
  </w:style>
  <w:style w:type="character" w:styleId="Refdecomentario">
    <w:name w:val="annotation reference"/>
    <w:basedOn w:val="Fuentedeprrafopredeter"/>
    <w:uiPriority w:val="99"/>
    <w:semiHidden/>
    <w:unhideWhenUsed/>
    <w:rsid w:val="000132D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0132DE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0132DE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132D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132DE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3E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3EB0"/>
    <w:rPr>
      <w:rFonts w:ascii="Tahoma" w:hAnsi="Tahoma" w:cs="Tahoma"/>
      <w:sz w:val="16"/>
      <w:szCs w:val="16"/>
      <w:lang w:val="es-ES_tradnl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781D14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A017BB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D022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F1564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ES_tradnl"/>
    </w:rPr>
  </w:style>
  <w:style w:type="character" w:customStyle="1" w:styleId="relative">
    <w:name w:val="relative"/>
    <w:basedOn w:val="Fuentedeprrafopredeter"/>
    <w:rsid w:val="00767194"/>
  </w:style>
  <w:style w:type="paragraph" w:customStyle="1" w:styleId="not-prose">
    <w:name w:val="not-prose"/>
    <w:basedOn w:val="Normal"/>
    <w:rsid w:val="00767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76719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ES" w:eastAsia="es-ES_tradnl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767194"/>
    <w:rPr>
      <w:rFonts w:ascii="Arial" w:eastAsia="Times New Roman" w:hAnsi="Arial" w:cs="Arial"/>
      <w:vanish/>
      <w:sz w:val="16"/>
      <w:szCs w:val="16"/>
      <w:lang w:eastAsia="es-ES_tradnl"/>
    </w:rPr>
  </w:style>
  <w:style w:type="paragraph" w:customStyle="1" w:styleId="placeholder">
    <w:name w:val="placeholder"/>
    <w:basedOn w:val="Normal"/>
    <w:rsid w:val="007671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_tradnl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76719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s-ES" w:eastAsia="es-ES_tradnl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767194"/>
    <w:rPr>
      <w:rFonts w:ascii="Arial" w:eastAsia="Times New Roman" w:hAnsi="Arial" w:cs="Arial"/>
      <w:vanish/>
      <w:sz w:val="16"/>
      <w:szCs w:val="16"/>
      <w:lang w:eastAsia="es-ES_tradnl"/>
    </w:rPr>
  </w:style>
  <w:style w:type="character" w:styleId="nfasis">
    <w:name w:val="Emphasis"/>
    <w:basedOn w:val="Fuentedeprrafopredeter"/>
    <w:uiPriority w:val="20"/>
    <w:qFormat/>
    <w:rsid w:val="00701C32"/>
    <w:rPr>
      <w:i/>
      <w:iCs/>
    </w:rPr>
  </w:style>
  <w:style w:type="character" w:customStyle="1" w:styleId="whitespace-normal">
    <w:name w:val="whitespace-normal"/>
    <w:basedOn w:val="Fuentedeprrafopredeter"/>
    <w:rsid w:val="00075C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4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71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6610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4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04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liveoilwc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liveoilworldcongress.com/inscription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youtube.com/watch?v=I0RkDiWJ8G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oliveoilworldcongress.com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iveoilworldcongress.com" TargetMode="External"/><Relationship Id="rId2" Type="http://schemas.openxmlformats.org/officeDocument/2006/relationships/hyperlink" Target="mailto:info@oliveoilwc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1055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del Carmen Martínez</dc:creator>
  <cp:keywords/>
  <dc:description/>
  <cp:lastModifiedBy>María del Carmen Martínez</cp:lastModifiedBy>
  <cp:revision>3</cp:revision>
  <dcterms:created xsi:type="dcterms:W3CDTF">2026-04-21T07:16:00Z</dcterms:created>
  <dcterms:modified xsi:type="dcterms:W3CDTF">2026-04-21T07:35:00Z</dcterms:modified>
</cp:coreProperties>
</file>