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2B97CAC5" w:rsidP="6525B3B7" w:rsidRDefault="2B97CAC5" w14:paraId="2A20B8C7" w14:textId="12E7DA94">
      <w:pPr>
        <w:jc w:val="center"/>
        <w:rPr>
          <w:b w:val="1"/>
          <w:bCs w:val="1"/>
          <w:sz w:val="44"/>
          <w:szCs w:val="44"/>
        </w:rPr>
      </w:pPr>
      <w:r w:rsidRPr="6525B3B7" w:rsidR="2B97CAC5">
        <w:rPr>
          <w:b w:val="1"/>
          <w:bCs w:val="1"/>
          <w:sz w:val="44"/>
          <w:szCs w:val="44"/>
        </w:rPr>
        <w:t xml:space="preserve">GA Alimentaria refuerza su oferta para obradores e industria con el nuevo Bag in Box de 10 litros de </w:t>
      </w:r>
      <w:r w:rsidRPr="6525B3B7" w:rsidR="2B97CAC5">
        <w:rPr>
          <w:b w:val="1"/>
          <w:bCs w:val="1"/>
          <w:sz w:val="44"/>
          <w:szCs w:val="44"/>
        </w:rPr>
        <w:t>mix</w:t>
      </w:r>
      <w:r w:rsidRPr="6525B3B7" w:rsidR="2B97CAC5">
        <w:rPr>
          <w:b w:val="1"/>
          <w:bCs w:val="1"/>
          <w:sz w:val="44"/>
          <w:szCs w:val="44"/>
        </w:rPr>
        <w:t xml:space="preserve"> vegetal</w:t>
      </w:r>
    </w:p>
    <w:p w:rsidR="2B97CAC5" w:rsidP="6525B3B7" w:rsidRDefault="2B97CAC5" w14:paraId="6FEC963E" w14:textId="467B07AB">
      <w:pPr>
        <w:pStyle w:val="Prrafodelista"/>
        <w:numPr>
          <w:ilvl w:val="0"/>
          <w:numId w:val="1"/>
        </w:numPr>
        <w:rPr>
          <w:i w:val="1"/>
          <w:iCs w:val="1"/>
        </w:rPr>
      </w:pPr>
      <w:r w:rsidRPr="6525B3B7" w:rsidR="2B97CAC5">
        <w:rPr>
          <w:i w:val="1"/>
          <w:iCs w:val="1"/>
        </w:rPr>
        <w:t>La compañía incorpora este formato para sus referencias de mix vegetal azucarado y acabado brillo Luxmar, dirigidas al canal industrial y artesano</w:t>
      </w:r>
    </w:p>
    <w:p w:rsidR="16075376" w:rsidP="16075376" w:rsidRDefault="16075376" w14:paraId="37C2E231" w14:textId="57DF93C3">
      <w:pPr>
        <w:pStyle w:val="Prrafodelista"/>
        <w:rPr>
          <w:i/>
          <w:iCs/>
        </w:rPr>
      </w:pPr>
    </w:p>
    <w:p w:rsidR="2B97CAC5" w:rsidP="6525B3B7" w:rsidRDefault="2B97CAC5" w14:paraId="09B74016" w14:textId="0AFA5CF3">
      <w:pPr>
        <w:pStyle w:val="Prrafodelista"/>
        <w:numPr>
          <w:ilvl w:val="0"/>
          <w:numId w:val="1"/>
        </w:numPr>
        <w:rPr>
          <w:i w:val="1"/>
          <w:iCs w:val="1"/>
        </w:rPr>
      </w:pPr>
      <w:r w:rsidRPr="6525B3B7" w:rsidR="2B97CAC5">
        <w:rPr>
          <w:i w:val="1"/>
          <w:iCs w:val="1"/>
        </w:rPr>
        <w:t>El nuevo formato Bag in Box de 10 litros se suma a los existentes en formato brik de 1 litro</w:t>
      </w:r>
    </w:p>
    <w:p w:rsidR="692B4F91" w:rsidP="692B4F91" w:rsidRDefault="692B4F91" w14:paraId="5BBCB021" w14:textId="09EDC37D">
      <w:pPr>
        <w:pStyle w:val="Prrafodelista"/>
        <w:rPr>
          <w:i/>
          <w:iCs/>
        </w:rPr>
      </w:pPr>
    </w:p>
    <w:p w:rsidR="2B97CAC5" w:rsidP="6525B3B7" w:rsidRDefault="2B97CAC5" w14:paraId="33904087" w14:textId="70DA9044">
      <w:pPr>
        <w:pStyle w:val="Prrafodelista"/>
        <w:numPr>
          <w:ilvl w:val="0"/>
          <w:numId w:val="1"/>
        </w:numPr>
        <w:rPr>
          <w:i w:val="1"/>
          <w:iCs w:val="1"/>
        </w:rPr>
      </w:pPr>
      <w:r w:rsidRPr="6525B3B7" w:rsidR="2B97CAC5">
        <w:rPr>
          <w:i w:val="1"/>
          <w:iCs w:val="1"/>
        </w:rPr>
        <w:t>Soluciones orientadas a aplicaciones de pastelería, bollería y panadería como decoraciones, rellenos, coberturas y acabado final de elaboraciones</w:t>
      </w:r>
    </w:p>
    <w:p w:rsidR="00663068" w:rsidP="6525B3B7" w:rsidRDefault="00663068" w14:paraId="30511EC7" w14:textId="1498010A">
      <w:pPr>
        <w:jc w:val="both"/>
      </w:pPr>
      <w:r>
        <w:br/>
      </w:r>
      <w:r w:rsidRPr="7880F253" w:rsidR="02FE6824">
        <w:rPr>
          <w:b w:val="1"/>
          <w:bCs w:val="1"/>
        </w:rPr>
        <w:t xml:space="preserve">Valencia, </w:t>
      </w:r>
      <w:r w:rsidRPr="7880F253" w:rsidR="04330978">
        <w:rPr>
          <w:b w:val="1"/>
          <w:bCs w:val="1"/>
        </w:rPr>
        <w:t xml:space="preserve">11 </w:t>
      </w:r>
      <w:r w:rsidRPr="7880F253" w:rsidR="02FE6824">
        <w:rPr>
          <w:b w:val="1"/>
          <w:bCs w:val="1"/>
        </w:rPr>
        <w:t xml:space="preserve">de </w:t>
      </w:r>
      <w:r w:rsidRPr="7880F253" w:rsidR="339B7A81">
        <w:rPr>
          <w:b w:val="1"/>
          <w:bCs w:val="1"/>
        </w:rPr>
        <w:t xml:space="preserve">mayo </w:t>
      </w:r>
      <w:r w:rsidRPr="7880F253" w:rsidR="02FE6824">
        <w:rPr>
          <w:b w:val="1"/>
          <w:bCs w:val="1"/>
        </w:rPr>
        <w:t>de 2026</w:t>
      </w:r>
      <w:r w:rsidR="02FE6824">
        <w:rPr/>
        <w:t>.</w:t>
      </w:r>
      <w:r w:rsidR="02FE6824">
        <w:rPr/>
        <w:t xml:space="preserve">- </w:t>
      </w:r>
      <w:r w:rsidR="6D48A03F">
        <w:rPr/>
        <w:t xml:space="preserve">El grupo valenciano </w:t>
      </w:r>
      <w:r w:rsidRPr="7880F253" w:rsidR="6D48A03F">
        <w:rPr>
          <w:b w:val="1"/>
          <w:bCs w:val="1"/>
        </w:rPr>
        <w:t>GA Alimentaria</w:t>
      </w:r>
      <w:r w:rsidR="6D48A03F">
        <w:rPr/>
        <w:t xml:space="preserve"> amplía su gama </w:t>
      </w:r>
      <w:r w:rsidR="6D48A03F">
        <w:rPr/>
        <w:t>Luxmar</w:t>
      </w:r>
      <w:r w:rsidR="6D48A03F">
        <w:rPr/>
        <w:t xml:space="preserve"> con el lanzamiento de sus referencias </w:t>
      </w:r>
      <w:r w:rsidR="6D48A03F">
        <w:rPr/>
        <w:t>mix</w:t>
      </w:r>
      <w:r w:rsidR="6D48A03F">
        <w:rPr/>
        <w:t xml:space="preserve"> vegetal azucarado 26,5 % y </w:t>
      </w:r>
      <w:r w:rsidR="6D48A03F">
        <w:rPr/>
        <w:t>Luxmar</w:t>
      </w:r>
      <w:r w:rsidR="6D48A03F">
        <w:rPr/>
        <w:t xml:space="preserve"> </w:t>
      </w:r>
      <w:r w:rsidR="6D48A03F">
        <w:rPr/>
        <w:t>Crystal</w:t>
      </w:r>
      <w:r w:rsidR="6D48A03F">
        <w:rPr/>
        <w:t xml:space="preserve"> Glaze, ahora disponibles en formato Bag in Box (BIB) de 10 litros, dirigido a obradores y a pequeños y medianos industriales.</w:t>
      </w:r>
    </w:p>
    <w:p w:rsidR="661974E4" w:rsidP="6525B3B7" w:rsidRDefault="661974E4" w14:paraId="4FAF82A6" w14:textId="29629375">
      <w:pPr>
        <w:jc w:val="both"/>
      </w:pPr>
      <w:r w:rsidR="661974E4">
        <w:rPr/>
        <w:t xml:space="preserve">Este nuevo formato se incorpora a los ya existentes de mix vegetal en formato brik de 1 litro para adaptarse a la demanda de artesanos e industriales de mayor consumo que requieren soluciones más eficientes y acondicionadas a sus procesos. Asimismo, GA Alimentaria presenta el formato brik de 1 litro de Luxmar Crystal Glaze, ampliando así las presentaciones de esta referencia. </w:t>
      </w:r>
      <w:r w:rsidRPr="6525B3B7" w:rsidR="661974E4">
        <w:rPr>
          <w:i w:val="1"/>
          <w:iCs w:val="1"/>
        </w:rPr>
        <w:t>“El lanzamiento de este formato Bag in Box de 10 litros permite ampliar la disponibilidad de nuestras referencias Luxmar dentro del canal profesional”,</w:t>
      </w:r>
      <w:r w:rsidR="661974E4">
        <w:rPr/>
        <w:t xml:space="preserve"> señala Javier Cases, director general de GA Alimentaria.</w:t>
      </w:r>
    </w:p>
    <w:p w:rsidR="661974E4" w:rsidP="6525B3B7" w:rsidRDefault="661974E4" w14:paraId="24A610EB" w14:textId="1FFA1CFA">
      <w:pPr>
        <w:jc w:val="both"/>
      </w:pPr>
      <w:r w:rsidR="661974E4">
        <w:rPr/>
        <w:t xml:space="preserve">El </w:t>
      </w:r>
      <w:r w:rsidRPr="6525B3B7" w:rsidR="661974E4">
        <w:rPr>
          <w:b w:val="1"/>
          <w:bCs w:val="1"/>
        </w:rPr>
        <w:t>mix</w:t>
      </w:r>
      <w:r w:rsidRPr="6525B3B7" w:rsidR="661974E4">
        <w:rPr>
          <w:b w:val="1"/>
          <w:bCs w:val="1"/>
        </w:rPr>
        <w:t xml:space="preserve"> vegetal azucarado 26,5 %</w:t>
      </w:r>
      <w:r w:rsidR="661974E4">
        <w:rPr/>
        <w:t xml:space="preserve"> está enfocado para montado y postres, siendo apto para aplicaciones como decoraciones, rellenos y coberturas en elaboraciones de pastelería. </w:t>
      </w:r>
      <w:r w:rsidR="661974E4">
        <w:rPr/>
        <w:t>Asimismo, presenta un gran rendimiento, estabilidad y firmeza en el batido, así como máxima cremosidad.</w:t>
      </w:r>
    </w:p>
    <w:p w:rsidR="5A352B73" w:rsidP="6525B3B7" w:rsidRDefault="5A352B73" w14:paraId="7BFB2DDF" w14:textId="523C14CA">
      <w:pPr>
        <w:jc w:val="both"/>
      </w:pPr>
      <w:r w:rsidR="5A352B73">
        <w:rPr/>
        <w:t>Además, no desuera una vez montado y resiste la congelación, manteniendo sus propiedades tras el proceso. Entre sus características, destaca también su capacidad de aumentar hasta cuatro veces su volumen, así como la posibilidad de obtener diferentes texturas en función del montado, desde cremosa para rellenos hasta más compacta para decoraciones.</w:t>
      </w:r>
    </w:p>
    <w:p w:rsidR="5A352B73" w:rsidP="6525B3B7" w:rsidRDefault="5A352B73" w14:paraId="0E024640" w14:textId="2ECA2CCA">
      <w:pPr>
        <w:jc w:val="both"/>
      </w:pPr>
      <w:r w:rsidR="5A352B73">
        <w:rPr/>
        <w:t>El producto incorpora azúcar en su formulación y presenta aroma y sabor con sutiles notas avainilladas. Asimismo, puede utilizarse tanto de forma independiente como combinado con otros ingredientes como nata, siropes, colorantes o chocolates, entre otros. Para su uso, se recomienda enfriar previamente entre 4 y 8 grados, y cuenta con tratamiento UHT, lo que permite su almacenamiento a temperatura controlada.</w:t>
      </w:r>
    </w:p>
    <w:p w:rsidR="5A352B73" w:rsidP="6525B3B7" w:rsidRDefault="5A352B73" w14:paraId="2852169A" w14:textId="1DF2B8DC">
      <w:pPr>
        <w:jc w:val="both"/>
      </w:pPr>
      <w:r w:rsidR="5A352B73">
        <w:rPr/>
        <w:t xml:space="preserve">Por su parte, </w:t>
      </w:r>
      <w:r w:rsidRPr="6525B3B7" w:rsidR="5A352B73">
        <w:rPr>
          <w:b w:val="1"/>
          <w:bCs w:val="1"/>
        </w:rPr>
        <w:t>Luxmar Crystal Glaze</w:t>
      </w:r>
      <w:r w:rsidR="5A352B73">
        <w:rPr/>
        <w:t xml:space="preserve"> se presenta como una alternativa al huevo lista para usar, diseñada para aportar a las elaboraciones un acabado brillante, liso y uniforme. Se trata de un producto 100 % vegetal, sin huevo ni alérgenos, apto para veganos y también libre de lácteos. Se puede aplicar para dar un acabado brillante a piezas de bollería como cruasanes, empanadas, panes de brioche o de hamburguesa.</w:t>
      </w:r>
    </w:p>
    <w:p w:rsidR="5A352B73" w:rsidP="6525B3B7" w:rsidRDefault="5A352B73" w14:paraId="5CFCD1AA" w14:textId="47B98CF5">
      <w:pPr>
        <w:jc w:val="both"/>
      </w:pPr>
      <w:r w:rsidR="5A352B73">
        <w:rPr/>
        <w:t xml:space="preserve">Entre sus características, destaca su brillo intenso y color dorado uniforme, así como su versatilidad de uso. Al igual que el </w:t>
      </w:r>
      <w:r w:rsidR="5A352B73">
        <w:rPr/>
        <w:t>mix</w:t>
      </w:r>
      <w:r w:rsidR="5A352B73">
        <w:rPr/>
        <w:t xml:space="preserve">, cuenta con tratamiento UHT, lo que le proporciona una larga vida útil y permite almacenarlo a temperatura ambiente. </w:t>
      </w:r>
      <w:r w:rsidRPr="7880F253" w:rsidR="5A352B73">
        <w:rPr>
          <w:i w:val="1"/>
          <w:iCs w:val="1"/>
        </w:rPr>
        <w:t xml:space="preserve">“Con esta incorporación en formato Bag in Box, seguimos ampliando la gama </w:t>
      </w:r>
      <w:r w:rsidRPr="7880F253" w:rsidR="5A352B73">
        <w:rPr>
          <w:i w:val="1"/>
          <w:iCs w:val="1"/>
        </w:rPr>
        <w:t>Luxmar</w:t>
      </w:r>
      <w:r w:rsidRPr="7880F253" w:rsidR="5A352B73">
        <w:rPr>
          <w:i w:val="1"/>
          <w:iCs w:val="1"/>
        </w:rPr>
        <w:t xml:space="preserve"> con nuevas soluciones para </w:t>
      </w:r>
      <w:r w:rsidRPr="7880F253" w:rsidR="1AB3A634">
        <w:rPr>
          <w:i w:val="1"/>
          <w:iCs w:val="1"/>
        </w:rPr>
        <w:t xml:space="preserve">los </w:t>
      </w:r>
      <w:r w:rsidRPr="7880F253" w:rsidR="5A352B73">
        <w:rPr>
          <w:i w:val="1"/>
          <w:iCs w:val="1"/>
        </w:rPr>
        <w:t xml:space="preserve">clientes dedicados a la producción a gran escala”, </w:t>
      </w:r>
      <w:r w:rsidR="5A352B73">
        <w:rPr/>
        <w:t>añade el director general de GA Alimentaria.</w:t>
      </w:r>
    </w:p>
    <w:p w:rsidR="5A352B73" w:rsidP="6525B3B7" w:rsidRDefault="5A352B73" w14:paraId="45504076" w14:textId="0FF3F9FF">
      <w:pPr>
        <w:jc w:val="both"/>
      </w:pPr>
      <w:r w:rsidR="5A352B73">
        <w:rPr/>
        <w:t>Dentro de la familia de mixes vegetales se encuentran también</w:t>
      </w:r>
      <w:r w:rsidRPr="6525B3B7" w:rsidR="5A352B73">
        <w:rPr>
          <w:b w:val="1"/>
          <w:bCs w:val="1"/>
        </w:rPr>
        <w:t xml:space="preserve"> </w:t>
      </w:r>
      <w:r w:rsidRPr="6525B3B7" w:rsidR="5A352B73">
        <w:rPr>
          <w:b w:val="1"/>
          <w:bCs w:val="1"/>
        </w:rPr>
        <w:t>Luxmar</w:t>
      </w:r>
      <w:r w:rsidRPr="6525B3B7" w:rsidR="5A352B73">
        <w:rPr>
          <w:b w:val="1"/>
          <w:bCs w:val="1"/>
        </w:rPr>
        <w:t xml:space="preserve"> </w:t>
      </w:r>
      <w:r w:rsidRPr="6525B3B7" w:rsidR="5A352B73">
        <w:rPr>
          <w:b w:val="1"/>
          <w:bCs w:val="1"/>
        </w:rPr>
        <w:t>Culinary</w:t>
      </w:r>
      <w:r w:rsidRPr="6525B3B7" w:rsidR="5A352B73">
        <w:rPr>
          <w:b w:val="1"/>
          <w:bCs w:val="1"/>
        </w:rPr>
        <w:t>,</w:t>
      </w:r>
      <w:r w:rsidR="5A352B73">
        <w:rPr/>
        <w:t xml:space="preserve"> con un 14 % de materia grasa; </w:t>
      </w:r>
      <w:r w:rsidRPr="6525B3B7" w:rsidR="5A352B73">
        <w:rPr>
          <w:b w:val="1"/>
          <w:bCs w:val="1"/>
        </w:rPr>
        <w:t>Luxmar</w:t>
      </w:r>
      <w:r w:rsidRPr="6525B3B7" w:rsidR="5A352B73">
        <w:rPr>
          <w:b w:val="1"/>
          <w:bCs w:val="1"/>
        </w:rPr>
        <w:t xml:space="preserve"> </w:t>
      </w:r>
      <w:r w:rsidRPr="6525B3B7" w:rsidR="5A352B73">
        <w:rPr>
          <w:b w:val="1"/>
          <w:bCs w:val="1"/>
        </w:rPr>
        <w:t>Culinary</w:t>
      </w:r>
      <w:r w:rsidRPr="6525B3B7" w:rsidR="5A352B73">
        <w:rPr>
          <w:b w:val="1"/>
          <w:bCs w:val="1"/>
        </w:rPr>
        <w:t xml:space="preserve"> Gold</w:t>
      </w:r>
      <w:r w:rsidR="5A352B73">
        <w:rPr/>
        <w:t xml:space="preserve">, con un 23 %; </w:t>
      </w:r>
      <w:r w:rsidRPr="6525B3B7" w:rsidR="5A352B73">
        <w:rPr>
          <w:b w:val="1"/>
          <w:bCs w:val="1"/>
        </w:rPr>
        <w:t>Luxmar</w:t>
      </w:r>
      <w:r w:rsidRPr="6525B3B7" w:rsidR="5A352B73">
        <w:rPr>
          <w:b w:val="1"/>
          <w:bCs w:val="1"/>
        </w:rPr>
        <w:t xml:space="preserve"> </w:t>
      </w:r>
      <w:r w:rsidRPr="6525B3B7" w:rsidR="5A352B73">
        <w:rPr>
          <w:b w:val="1"/>
          <w:bCs w:val="1"/>
        </w:rPr>
        <w:t>Whipping</w:t>
      </w:r>
      <w:r w:rsidRPr="6525B3B7" w:rsidR="5A352B73">
        <w:rPr>
          <w:b w:val="1"/>
          <w:bCs w:val="1"/>
        </w:rPr>
        <w:t xml:space="preserve"> Duo</w:t>
      </w:r>
      <w:r w:rsidR="5A352B73">
        <w:rPr/>
        <w:t xml:space="preserve">, para montar y cocinar, con un 26,5 %; y </w:t>
      </w:r>
      <w:r w:rsidRPr="6525B3B7" w:rsidR="5A352B73">
        <w:rPr>
          <w:b w:val="1"/>
          <w:bCs w:val="1"/>
        </w:rPr>
        <w:t>Luxmar</w:t>
      </w:r>
      <w:r w:rsidRPr="6525B3B7" w:rsidR="5A352B73">
        <w:rPr>
          <w:b w:val="1"/>
          <w:bCs w:val="1"/>
        </w:rPr>
        <w:t xml:space="preserve"> </w:t>
      </w:r>
      <w:r w:rsidRPr="6525B3B7" w:rsidR="5A352B73">
        <w:rPr>
          <w:b w:val="1"/>
          <w:bCs w:val="1"/>
        </w:rPr>
        <w:t>Whipping</w:t>
      </w:r>
      <w:r w:rsidRPr="6525B3B7" w:rsidR="5A352B73">
        <w:rPr>
          <w:b w:val="1"/>
          <w:bCs w:val="1"/>
        </w:rPr>
        <w:t xml:space="preserve"> Sugar</w:t>
      </w:r>
      <w:r w:rsidR="5A352B73">
        <w:rPr/>
        <w:t>, para montar y postres, con un 26,5 % de materia grasa.</w:t>
      </w:r>
    </w:p>
    <w:p w:rsidRPr="00864CDD" w:rsidR="00663068" w:rsidP="7F13FC2B" w:rsidRDefault="799776DE" w14:paraId="5985CB24" w14:textId="713833CD">
      <w:pPr>
        <w:jc w:val="both"/>
      </w:pPr>
      <w:r>
        <w:t>Con este lanzamiento, GA Alimentaria continúa desarrollando su oferta de productos dentro de la gama Luxmar, incorporando nuevos formatos que se suman a los ya existentes.</w:t>
      </w:r>
    </w:p>
    <w:p w:rsidRPr="00864CDD" w:rsidR="00663068" w:rsidP="00663068" w:rsidRDefault="00663068" w14:paraId="452B71E3" w14:textId="74E8BEDB">
      <w:pPr>
        <w:jc w:val="both"/>
      </w:pPr>
    </w:p>
    <w:p w:rsidR="08011C53" w:rsidP="0979BA0E" w:rsidRDefault="08011C53" w14:paraId="395F27B0" w14:textId="6D47FCFB">
      <w:pPr>
        <w:shd w:val="clear" w:color="auto" w:fill="F2F2F2" w:themeFill="background1" w:themeFillShade="F2"/>
        <w:spacing w:before="120" w:after="120" w:line="360" w:lineRule="auto"/>
        <w:jc w:val="both"/>
      </w:pPr>
      <w:r w:rsidRPr="0979BA0E">
        <w:rPr>
          <w:rFonts w:ascii="Arial" w:hAnsi="Arial" w:eastAsia="Arial" w:cs="Arial"/>
          <w:b/>
          <w:bCs/>
          <w:i/>
          <w:iCs/>
          <w:color w:val="1F3864"/>
          <w:sz w:val="18"/>
          <w:szCs w:val="18"/>
        </w:rPr>
        <w:t>Sobre GA ALIMENTARIA</w:t>
      </w:r>
    </w:p>
    <w:p w:rsidR="08011C53" w:rsidP="0979BA0E" w:rsidRDefault="08011C53" w14:paraId="35659C55" w14:textId="096DE594">
      <w:pPr>
        <w:shd w:val="clear" w:color="auto" w:fill="F2F2F2" w:themeFill="background1" w:themeFillShade="F2"/>
        <w:spacing w:before="120" w:after="120" w:line="360" w:lineRule="auto"/>
        <w:jc w:val="both"/>
      </w:pPr>
      <w:r w:rsidRPr="0979BA0E">
        <w:rPr>
          <w:rFonts w:ascii="Arial" w:hAnsi="Arial" w:eastAsia="Arial" w:cs="Arial"/>
          <w:i/>
          <w:iCs/>
          <w:color w:val="000000" w:themeColor="text1"/>
          <w:sz w:val="18"/>
          <w:szCs w:val="18"/>
        </w:rPr>
        <w:t>GA ALIMENTARIA es un grupo perteneciente al holding empresarial Nuova Sesac, 100% español con origen en Valencia, que compite con grandes actores del mercado internacional con productos alimentarios de gran consumo como son las margarinas, aceites vegetales, grasas especiales para la alimentación, caldos caseros, natas vegetales</w:t>
      </w:r>
      <w:r w:rsidR="004E35AE">
        <w:rPr>
          <w:rFonts w:ascii="Arial" w:hAnsi="Arial" w:eastAsia="Arial" w:cs="Arial"/>
          <w:i/>
          <w:iCs/>
          <w:color w:val="000000" w:themeColor="text1"/>
          <w:sz w:val="18"/>
          <w:szCs w:val="18"/>
        </w:rPr>
        <w:t xml:space="preserve"> </w:t>
      </w:r>
      <w:r w:rsidRPr="0979BA0E">
        <w:rPr>
          <w:rFonts w:ascii="Arial" w:hAnsi="Arial" w:eastAsia="Arial" w:cs="Arial"/>
          <w:i/>
          <w:iCs/>
          <w:color w:val="000000" w:themeColor="text1"/>
          <w:sz w:val="18"/>
          <w:szCs w:val="18"/>
        </w:rPr>
        <w:t>y salsas.</w:t>
      </w:r>
      <w:r w:rsidR="00864CDD">
        <w:rPr>
          <w:rFonts w:ascii="Arial" w:hAnsi="Arial" w:eastAsia="Arial" w:cs="Arial"/>
          <w:i/>
          <w:iCs/>
          <w:color w:val="000000" w:themeColor="text1"/>
          <w:sz w:val="18"/>
          <w:szCs w:val="18"/>
        </w:rPr>
        <w:t xml:space="preserve"> El grupo está formado por:</w:t>
      </w:r>
    </w:p>
    <w:p w:rsidR="00864CDD" w:rsidP="0979BA0E" w:rsidRDefault="08011C53" w14:paraId="4E21B02C" w14:textId="0F1C912C">
      <w:pPr>
        <w:shd w:val="clear" w:color="auto" w:fill="F2F2F2" w:themeFill="background1" w:themeFillShade="F2"/>
        <w:spacing w:before="120" w:after="120" w:line="360" w:lineRule="auto"/>
        <w:jc w:val="both"/>
        <w:rPr>
          <w:rFonts w:ascii="Arial" w:hAnsi="Arial" w:eastAsia="Arial" w:cs="Arial"/>
          <w:i/>
          <w:iCs/>
          <w:color w:val="000000" w:themeColor="text1"/>
          <w:sz w:val="18"/>
          <w:szCs w:val="18"/>
        </w:rPr>
      </w:pPr>
      <w:hyperlink r:id="rId10">
        <w:r w:rsidRPr="0979BA0E">
          <w:rPr>
            <w:rStyle w:val="Hipervnculo"/>
            <w:rFonts w:ascii="Arial" w:hAnsi="Arial" w:eastAsia="Arial" w:cs="Arial"/>
            <w:i/>
            <w:iCs/>
            <w:color w:val="0563C1"/>
            <w:sz w:val="18"/>
            <w:szCs w:val="18"/>
          </w:rPr>
          <w:t>GRACOMSA</w:t>
        </w:r>
      </w:hyperlink>
      <w:r w:rsidRPr="0979BA0E">
        <w:rPr>
          <w:rFonts w:ascii="Arial" w:hAnsi="Arial" w:eastAsia="Arial" w:cs="Arial"/>
          <w:i/>
          <w:iCs/>
          <w:color w:val="000000" w:themeColor="text1"/>
          <w:sz w:val="18"/>
          <w:szCs w:val="18"/>
        </w:rPr>
        <w:t xml:space="preserve"> </w:t>
      </w:r>
      <w:r w:rsidR="00864CDD">
        <w:rPr>
          <w:rFonts w:ascii="Arial" w:hAnsi="Arial" w:eastAsia="Arial" w:cs="Arial"/>
          <w:i/>
          <w:iCs/>
          <w:color w:val="000000" w:themeColor="text1"/>
          <w:sz w:val="18"/>
          <w:szCs w:val="18"/>
        </w:rPr>
        <w:t xml:space="preserve">empresa </w:t>
      </w:r>
      <w:r w:rsidRPr="00864CDD" w:rsidR="00864CDD">
        <w:rPr>
          <w:rFonts w:ascii="Arial" w:hAnsi="Arial" w:eastAsia="Arial" w:cs="Arial"/>
          <w:i/>
          <w:iCs/>
          <w:color w:val="000000" w:themeColor="text1"/>
          <w:sz w:val="18"/>
          <w:szCs w:val="18"/>
        </w:rPr>
        <w:t>dedicada a la elaboración de margarinas, aceites y grasas especiales para la industria alimentaria</w:t>
      </w:r>
    </w:p>
    <w:p w:rsidR="08011C53" w:rsidP="0979BA0E" w:rsidRDefault="08011C53" w14:paraId="25751DEF" w14:textId="49E415B5">
      <w:pPr>
        <w:shd w:val="clear" w:color="auto" w:fill="F2F2F2" w:themeFill="background1" w:themeFillShade="F2"/>
        <w:spacing w:before="120" w:after="120" w:line="360" w:lineRule="auto"/>
        <w:jc w:val="both"/>
      </w:pPr>
      <w:hyperlink r:id="rId11">
        <w:r w:rsidRPr="0979BA0E">
          <w:rPr>
            <w:rStyle w:val="Hipervnculo"/>
            <w:rFonts w:ascii="Arial" w:hAnsi="Arial" w:eastAsia="Arial" w:cs="Arial"/>
            <w:i/>
            <w:iCs/>
            <w:color w:val="0563C1"/>
            <w:sz w:val="18"/>
            <w:szCs w:val="18"/>
          </w:rPr>
          <w:t>DOCCAS FOOD</w:t>
        </w:r>
      </w:hyperlink>
      <w:r w:rsidRPr="0979BA0E">
        <w:rPr>
          <w:rFonts w:ascii="Arial" w:hAnsi="Arial" w:eastAsia="Arial" w:cs="Arial"/>
          <w:i/>
          <w:iCs/>
          <w:color w:val="000000" w:themeColor="text1"/>
          <w:sz w:val="18"/>
          <w:szCs w:val="18"/>
        </w:rPr>
        <w:t xml:space="preserve">, compañía que fabrica margarinas y untables para el canal retail. Se trata de una fábrica inteligente capaz de una mayor adaptabilidad a los procesos de fabricación y una asignación más eficaz de los recursos. </w:t>
      </w:r>
    </w:p>
    <w:p w:rsidR="00864CDD" w:rsidP="0979BA0E" w:rsidRDefault="08011C53" w14:paraId="1F944B18" w14:textId="77777777">
      <w:pPr>
        <w:shd w:val="clear" w:color="auto" w:fill="F2F2F2" w:themeFill="background1" w:themeFillShade="F2"/>
        <w:spacing w:before="120" w:after="120" w:line="360" w:lineRule="auto"/>
        <w:jc w:val="both"/>
        <w:rPr>
          <w:rFonts w:ascii="Arial" w:hAnsi="Arial" w:eastAsia="Arial" w:cs="Arial"/>
          <w:i/>
          <w:iCs/>
          <w:color w:val="000000" w:themeColor="text1"/>
          <w:sz w:val="18"/>
          <w:szCs w:val="18"/>
        </w:rPr>
      </w:pPr>
      <w:r w:rsidRPr="0979BA0E">
        <w:rPr>
          <w:rFonts w:ascii="Arial" w:hAnsi="Arial" w:eastAsia="Arial" w:cs="Arial"/>
          <w:i/>
          <w:iCs/>
          <w:color w:val="0563C1"/>
          <w:sz w:val="18"/>
          <w:szCs w:val="18"/>
          <w:u w:val="single"/>
        </w:rPr>
        <w:t>ANKER FOOD</w:t>
      </w:r>
      <w:r w:rsidRPr="0979BA0E">
        <w:rPr>
          <w:rFonts w:ascii="Arial" w:hAnsi="Arial" w:eastAsia="Arial" w:cs="Arial"/>
          <w:i/>
          <w:iCs/>
          <w:color w:val="000000" w:themeColor="text1"/>
          <w:sz w:val="18"/>
          <w:szCs w:val="18"/>
        </w:rPr>
        <w:t>, para la fabricación de caldos caseros</w:t>
      </w:r>
      <w:r w:rsidR="004E35AE">
        <w:rPr>
          <w:rFonts w:ascii="Arial" w:hAnsi="Arial" w:eastAsia="Arial" w:cs="Arial"/>
          <w:i/>
          <w:iCs/>
          <w:color w:val="000000" w:themeColor="text1"/>
          <w:sz w:val="18"/>
          <w:szCs w:val="18"/>
        </w:rPr>
        <w:t xml:space="preserve"> y</w:t>
      </w:r>
      <w:r w:rsidRPr="0979BA0E">
        <w:rPr>
          <w:rFonts w:ascii="Arial" w:hAnsi="Arial" w:eastAsia="Arial" w:cs="Arial"/>
          <w:i/>
          <w:iCs/>
          <w:color w:val="000000" w:themeColor="text1"/>
          <w:sz w:val="18"/>
          <w:szCs w:val="18"/>
        </w:rPr>
        <w:t xml:space="preserve"> </w:t>
      </w:r>
      <w:r w:rsidR="004E35AE">
        <w:rPr>
          <w:rFonts w:ascii="Arial" w:hAnsi="Arial" w:eastAsia="Arial" w:cs="Arial"/>
          <w:i/>
          <w:iCs/>
          <w:color w:val="000000" w:themeColor="text1"/>
          <w:sz w:val="18"/>
          <w:szCs w:val="18"/>
        </w:rPr>
        <w:t xml:space="preserve">mixes </w:t>
      </w:r>
      <w:r w:rsidRPr="0979BA0E">
        <w:rPr>
          <w:rFonts w:ascii="Arial" w:hAnsi="Arial" w:eastAsia="Arial" w:cs="Arial"/>
          <w:i/>
          <w:iCs/>
          <w:color w:val="000000" w:themeColor="text1"/>
          <w:sz w:val="18"/>
          <w:szCs w:val="18"/>
        </w:rPr>
        <w:t xml:space="preserve">vegetales </w:t>
      </w:r>
    </w:p>
    <w:p w:rsidR="5D05F5C1" w:rsidP="0979BA0E" w:rsidRDefault="08011C53" w14:paraId="191B2F1A" w14:textId="2CE67146">
      <w:pPr>
        <w:shd w:val="clear" w:color="auto" w:fill="F2F2F2" w:themeFill="background1" w:themeFillShade="F2"/>
        <w:spacing w:before="120" w:after="120" w:line="360" w:lineRule="auto"/>
        <w:jc w:val="both"/>
        <w:rPr>
          <w:rFonts w:ascii="Arial" w:hAnsi="Arial" w:eastAsia="Arial" w:cs="Arial"/>
          <w:i/>
          <w:iCs/>
          <w:color w:val="000000" w:themeColor="text1"/>
          <w:sz w:val="18"/>
          <w:szCs w:val="18"/>
        </w:rPr>
      </w:pPr>
      <w:r w:rsidRPr="0979BA0E">
        <w:rPr>
          <w:rFonts w:ascii="Arial" w:hAnsi="Arial" w:eastAsia="Arial" w:cs="Arial"/>
          <w:i/>
          <w:iCs/>
          <w:color w:val="0563C1"/>
          <w:sz w:val="18"/>
          <w:szCs w:val="18"/>
          <w:u w:val="single"/>
        </w:rPr>
        <w:t>ONES MAY SABORES,</w:t>
      </w:r>
      <w:r w:rsidRPr="0979BA0E">
        <w:rPr>
          <w:rFonts w:ascii="Arial" w:hAnsi="Arial" w:eastAsia="Arial" w:cs="Arial"/>
          <w:i/>
          <w:iCs/>
          <w:color w:val="000000" w:themeColor="text1"/>
          <w:sz w:val="18"/>
          <w:szCs w:val="18"/>
        </w:rPr>
        <w:t xml:space="preserve"> una nueva división de salsas condimentarias.</w:t>
      </w:r>
    </w:p>
    <w:p w:rsidR="0979BA0E" w:rsidP="0979BA0E" w:rsidRDefault="0979BA0E" w14:paraId="3C2F6BAB" w14:textId="0D220E4C">
      <w:pPr>
        <w:shd w:val="clear" w:color="auto" w:fill="F2F2F2" w:themeFill="background1" w:themeFillShade="F2"/>
        <w:spacing w:before="120" w:after="120" w:line="360" w:lineRule="auto"/>
        <w:jc w:val="both"/>
        <w:rPr>
          <w:rFonts w:ascii="Arial" w:hAnsi="Arial" w:eastAsia="Arial" w:cs="Arial"/>
          <w:i/>
          <w:iCs/>
          <w:sz w:val="18"/>
          <w:szCs w:val="18"/>
        </w:rPr>
      </w:pPr>
    </w:p>
    <w:p w:rsidR="0979BA0E" w:rsidRDefault="0979BA0E" w14:paraId="29E5C2EE" w14:textId="2964A66E"/>
    <w:p w:rsidRPr="00663068" w:rsidR="00663068" w:rsidRDefault="00663068" w14:paraId="09AC97D8" w14:textId="0091644F">
      <w:pPr>
        <w:rPr>
          <w:b/>
          <w:bCs/>
        </w:rPr>
      </w:pPr>
      <w:r w:rsidRPr="00663068">
        <w:rPr>
          <w:b/>
          <w:bCs/>
        </w:rPr>
        <w:t xml:space="preserve">Media Contact: </w:t>
      </w:r>
    </w:p>
    <w:p w:rsidR="00663068" w:rsidRDefault="00663068" w14:paraId="52B2A515" w14:textId="1A7F116E">
      <w:r>
        <w:t xml:space="preserve">María del Mar Benlloch: </w:t>
      </w:r>
      <w:hyperlink w:history="1" r:id="rId12">
        <w:r w:rsidRPr="00D631F3">
          <w:rPr>
            <w:rStyle w:val="Hipervnculo"/>
          </w:rPr>
          <w:t>mmar@aletreo.com</w:t>
        </w:r>
      </w:hyperlink>
      <w:r>
        <w:t xml:space="preserve"> TLF: 676 399 780</w:t>
      </w:r>
    </w:p>
    <w:p w:rsidR="007A4A56" w:rsidRDefault="007A4A56" w14:paraId="4061F1B5" w14:textId="105E7ED2">
      <w:r>
        <w:t xml:space="preserve">Antonio Monsalve: </w:t>
      </w:r>
      <w:hyperlink r:id="rId13">
        <w:r w:rsidRPr="0BB2574C">
          <w:rPr>
            <w:rStyle w:val="Hipervnculo"/>
          </w:rPr>
          <w:t>antonio@aletreo.com</w:t>
        </w:r>
      </w:hyperlink>
      <w:r>
        <w:t xml:space="preserve"> TLF: 656 266 846</w:t>
      </w:r>
    </w:p>
    <w:sectPr w:rsidR="007A4A56" w:rsidSect="007A4A56">
      <w:headerReference w:type="default" r:id="rId14"/>
      <w:footerReference w:type="default" r:id="rId15"/>
      <w:pgSz w:w="11906" w:h="16838" w:orient="portrait"/>
      <w:pgMar w:top="281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01A" w:rsidP="00663068" w:rsidRDefault="0049401A" w14:paraId="23E88C7A" w14:textId="77777777">
      <w:pPr>
        <w:spacing w:after="0" w:line="240" w:lineRule="auto"/>
      </w:pPr>
      <w:r>
        <w:separator/>
      </w:r>
    </w:p>
  </w:endnote>
  <w:endnote w:type="continuationSeparator" w:id="0">
    <w:p w:rsidR="0049401A" w:rsidP="00663068" w:rsidRDefault="0049401A" w14:paraId="6660BF1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0BB2574C" w:rsidTr="0BB2574C" w14:paraId="19366AA2" w14:textId="77777777">
      <w:trPr>
        <w:trHeight w:val="300"/>
      </w:trPr>
      <w:tc>
        <w:tcPr>
          <w:tcW w:w="2830" w:type="dxa"/>
        </w:tcPr>
        <w:p w:rsidR="0BB2574C" w:rsidP="0BB2574C" w:rsidRDefault="0BB2574C" w14:paraId="5C3F833B" w14:textId="12F527CE">
          <w:pPr>
            <w:pStyle w:val="Encabezado"/>
            <w:ind w:left="-115"/>
          </w:pPr>
        </w:p>
      </w:tc>
      <w:tc>
        <w:tcPr>
          <w:tcW w:w="2830" w:type="dxa"/>
        </w:tcPr>
        <w:p w:rsidR="0BB2574C" w:rsidP="0BB2574C" w:rsidRDefault="0BB2574C" w14:paraId="68B6DB8B" w14:textId="6AC86BBF">
          <w:pPr>
            <w:pStyle w:val="Encabezado"/>
            <w:jc w:val="center"/>
          </w:pPr>
        </w:p>
      </w:tc>
      <w:tc>
        <w:tcPr>
          <w:tcW w:w="2830" w:type="dxa"/>
        </w:tcPr>
        <w:p w:rsidR="0BB2574C" w:rsidP="0BB2574C" w:rsidRDefault="0BB2574C" w14:paraId="67D7A324" w14:textId="43E38180">
          <w:pPr>
            <w:pStyle w:val="Encabezado"/>
            <w:ind w:right="-115"/>
            <w:jc w:val="right"/>
          </w:pPr>
        </w:p>
      </w:tc>
    </w:tr>
  </w:tbl>
  <w:p w:rsidR="0BB2574C" w:rsidP="0BB2574C" w:rsidRDefault="0BB2574C" w14:paraId="450635C5" w14:textId="720F0D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01A" w:rsidP="00663068" w:rsidRDefault="0049401A" w14:paraId="56174216" w14:textId="77777777">
      <w:pPr>
        <w:spacing w:after="0" w:line="240" w:lineRule="auto"/>
      </w:pPr>
      <w:r>
        <w:separator/>
      </w:r>
    </w:p>
  </w:footnote>
  <w:footnote w:type="continuationSeparator" w:id="0">
    <w:p w:rsidR="0049401A" w:rsidP="00663068" w:rsidRDefault="0049401A" w14:paraId="572BE40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63068" w:rsidRDefault="0BB2574C" w14:paraId="67798B36" w14:textId="3A7CB1E4">
    <w:pPr>
      <w:pStyle w:val="Encabezado"/>
    </w:pPr>
    <w:r>
      <w:rPr>
        <w:noProof/>
      </w:rPr>
      <w:drawing>
        <wp:anchor distT="0" distB="0" distL="114300" distR="114300" simplePos="0" relativeHeight="251659264" behindDoc="0" locked="0" layoutInCell="1" allowOverlap="1" wp14:anchorId="3D74394F" wp14:editId="54309AE0">
          <wp:simplePos x="0" y="0"/>
          <wp:positionH relativeFrom="column">
            <wp:posOffset>-635</wp:posOffset>
          </wp:positionH>
          <wp:positionV relativeFrom="paragraph">
            <wp:posOffset>1270</wp:posOffset>
          </wp:positionV>
          <wp:extent cx="1104900" cy="1104900"/>
          <wp:effectExtent l="0" t="0" r="0" b="0"/>
          <wp:wrapSquare wrapText="bothSides"/>
          <wp:docPr id="18329762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43451" name="Picture 381243451"/>
                  <pic:cNvPicPr/>
                </pic:nvPicPr>
                <pic:blipFill>
                  <a:blip r:embed="rId1">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0A207EC" wp14:editId="4469D494">
          <wp:simplePos x="0" y="0"/>
          <wp:positionH relativeFrom="column">
            <wp:align>right</wp:align>
          </wp:positionH>
          <wp:positionV relativeFrom="paragraph">
            <wp:posOffset>0</wp:posOffset>
          </wp:positionV>
          <wp:extent cx="3505200" cy="597690"/>
          <wp:effectExtent l="0" t="0" r="0" b="0"/>
          <wp:wrapSquare wrapText="bothSides"/>
          <wp:docPr id="21167439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021205" name="Picture 995021205"/>
                  <pic:cNvPicPr/>
                </pic:nvPicPr>
                <pic:blipFill>
                  <a:blip r:embed="rId2">
                    <a:extLst>
                      <a:ext uri="{28A0092B-C50C-407E-A947-70E740481C1C}">
                        <a14:useLocalDpi xmlns:a14="http://schemas.microsoft.com/office/drawing/2010/main"/>
                      </a:ext>
                    </a:extLst>
                  </a:blip>
                  <a:stretch>
                    <a:fillRect/>
                  </a:stretch>
                </pic:blipFill>
                <pic:spPr>
                  <a:xfrm>
                    <a:off x="0" y="0"/>
                    <a:ext cx="3505200" cy="5976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02331"/>
    <w:multiLevelType w:val="hybridMultilevel"/>
    <w:tmpl w:val="AE8A5438"/>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num w:numId="1" w16cid:durableId="359161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068"/>
    <w:rsid w:val="0000678D"/>
    <w:rsid w:val="00012671"/>
    <w:rsid w:val="00023167"/>
    <w:rsid w:val="00044893"/>
    <w:rsid w:val="00095E8C"/>
    <w:rsid w:val="001055A1"/>
    <w:rsid w:val="001142F1"/>
    <w:rsid w:val="00123448"/>
    <w:rsid w:val="00124B7D"/>
    <w:rsid w:val="00191902"/>
    <w:rsid w:val="00197B6F"/>
    <w:rsid w:val="002013ED"/>
    <w:rsid w:val="002301DF"/>
    <w:rsid w:val="002C16B8"/>
    <w:rsid w:val="002C4196"/>
    <w:rsid w:val="003679FA"/>
    <w:rsid w:val="003E6855"/>
    <w:rsid w:val="003F6BD2"/>
    <w:rsid w:val="0042141C"/>
    <w:rsid w:val="004711CC"/>
    <w:rsid w:val="0049401A"/>
    <w:rsid w:val="004E1905"/>
    <w:rsid w:val="004E35AE"/>
    <w:rsid w:val="0057580D"/>
    <w:rsid w:val="005A03F0"/>
    <w:rsid w:val="005D5844"/>
    <w:rsid w:val="0066027C"/>
    <w:rsid w:val="00663068"/>
    <w:rsid w:val="007158B3"/>
    <w:rsid w:val="007207FE"/>
    <w:rsid w:val="00743146"/>
    <w:rsid w:val="007549AD"/>
    <w:rsid w:val="007A4A56"/>
    <w:rsid w:val="00804728"/>
    <w:rsid w:val="00811E83"/>
    <w:rsid w:val="00833778"/>
    <w:rsid w:val="00864CDD"/>
    <w:rsid w:val="009703E7"/>
    <w:rsid w:val="00A23D5D"/>
    <w:rsid w:val="00AA0BC6"/>
    <w:rsid w:val="00B405EE"/>
    <w:rsid w:val="00C162E2"/>
    <w:rsid w:val="00C733F4"/>
    <w:rsid w:val="00D03A3A"/>
    <w:rsid w:val="00D651E5"/>
    <w:rsid w:val="00DC0142"/>
    <w:rsid w:val="00DD56CD"/>
    <w:rsid w:val="00E57BC7"/>
    <w:rsid w:val="00E62406"/>
    <w:rsid w:val="00E628B2"/>
    <w:rsid w:val="00E946C9"/>
    <w:rsid w:val="00EA5276"/>
    <w:rsid w:val="00EA5AD7"/>
    <w:rsid w:val="00EC371B"/>
    <w:rsid w:val="00FD1BEE"/>
    <w:rsid w:val="013A5770"/>
    <w:rsid w:val="01C24F7A"/>
    <w:rsid w:val="01CB22FF"/>
    <w:rsid w:val="01F29F21"/>
    <w:rsid w:val="01FBA12E"/>
    <w:rsid w:val="022B397B"/>
    <w:rsid w:val="02FE6824"/>
    <w:rsid w:val="03508200"/>
    <w:rsid w:val="03E6EBDC"/>
    <w:rsid w:val="04330978"/>
    <w:rsid w:val="04B53E80"/>
    <w:rsid w:val="04ECA129"/>
    <w:rsid w:val="0537F13A"/>
    <w:rsid w:val="06BADEE0"/>
    <w:rsid w:val="06F10B14"/>
    <w:rsid w:val="070351C8"/>
    <w:rsid w:val="07FF81D8"/>
    <w:rsid w:val="08011C53"/>
    <w:rsid w:val="08C5BC4B"/>
    <w:rsid w:val="08DACDFA"/>
    <w:rsid w:val="08E0D3A1"/>
    <w:rsid w:val="08F55E60"/>
    <w:rsid w:val="097059E7"/>
    <w:rsid w:val="0979BA0E"/>
    <w:rsid w:val="0B1C26D3"/>
    <w:rsid w:val="0B9EF2CB"/>
    <w:rsid w:val="0BA846E5"/>
    <w:rsid w:val="0BB2574C"/>
    <w:rsid w:val="0CAA4BDA"/>
    <w:rsid w:val="0CCBD702"/>
    <w:rsid w:val="0D039B7A"/>
    <w:rsid w:val="0E5022E7"/>
    <w:rsid w:val="0E8FD076"/>
    <w:rsid w:val="0EC8EF15"/>
    <w:rsid w:val="0F3A72C7"/>
    <w:rsid w:val="1017CCC4"/>
    <w:rsid w:val="119C0FBC"/>
    <w:rsid w:val="11D51C96"/>
    <w:rsid w:val="136630EB"/>
    <w:rsid w:val="139EEFC6"/>
    <w:rsid w:val="13A74EB7"/>
    <w:rsid w:val="13BC9762"/>
    <w:rsid w:val="14CEF5D3"/>
    <w:rsid w:val="14D42F09"/>
    <w:rsid w:val="15713A2E"/>
    <w:rsid w:val="15CA4A8F"/>
    <w:rsid w:val="16075376"/>
    <w:rsid w:val="1664C4FE"/>
    <w:rsid w:val="16CC9817"/>
    <w:rsid w:val="16D75C92"/>
    <w:rsid w:val="18FBD586"/>
    <w:rsid w:val="1A75999C"/>
    <w:rsid w:val="1AB3A634"/>
    <w:rsid w:val="1ACEE62B"/>
    <w:rsid w:val="1B4C629D"/>
    <w:rsid w:val="1CD5FC3F"/>
    <w:rsid w:val="1D990C6A"/>
    <w:rsid w:val="1E05E2E3"/>
    <w:rsid w:val="1E418881"/>
    <w:rsid w:val="1FBAD206"/>
    <w:rsid w:val="20A84CDC"/>
    <w:rsid w:val="231EECD0"/>
    <w:rsid w:val="2323537F"/>
    <w:rsid w:val="23CD33F5"/>
    <w:rsid w:val="2406D40B"/>
    <w:rsid w:val="24197323"/>
    <w:rsid w:val="2535FFA6"/>
    <w:rsid w:val="2693FCAE"/>
    <w:rsid w:val="2698F240"/>
    <w:rsid w:val="26999A72"/>
    <w:rsid w:val="26E479B0"/>
    <w:rsid w:val="270B67A1"/>
    <w:rsid w:val="270FA340"/>
    <w:rsid w:val="27EAC4B2"/>
    <w:rsid w:val="27EACB25"/>
    <w:rsid w:val="28378582"/>
    <w:rsid w:val="2847A6A9"/>
    <w:rsid w:val="2862ECE0"/>
    <w:rsid w:val="290D320C"/>
    <w:rsid w:val="2A334D79"/>
    <w:rsid w:val="2B97CAC5"/>
    <w:rsid w:val="2BC297E5"/>
    <w:rsid w:val="2C007430"/>
    <w:rsid w:val="2E535BCB"/>
    <w:rsid w:val="2E7F3C75"/>
    <w:rsid w:val="2E832E56"/>
    <w:rsid w:val="2EF5AD15"/>
    <w:rsid w:val="2EF6C796"/>
    <w:rsid w:val="2F03E12D"/>
    <w:rsid w:val="2F69DFAE"/>
    <w:rsid w:val="2F904279"/>
    <w:rsid w:val="2FC25B4E"/>
    <w:rsid w:val="3076BA50"/>
    <w:rsid w:val="307794B6"/>
    <w:rsid w:val="3158749A"/>
    <w:rsid w:val="31BF22BA"/>
    <w:rsid w:val="31CBD717"/>
    <w:rsid w:val="32B3CFAB"/>
    <w:rsid w:val="339B7A81"/>
    <w:rsid w:val="363FAF0F"/>
    <w:rsid w:val="3784E2F4"/>
    <w:rsid w:val="395FF8B2"/>
    <w:rsid w:val="39A247D9"/>
    <w:rsid w:val="39E2CB57"/>
    <w:rsid w:val="3A8B0CB2"/>
    <w:rsid w:val="3CB5AEA3"/>
    <w:rsid w:val="3DDED91B"/>
    <w:rsid w:val="3EDB467F"/>
    <w:rsid w:val="3FC991DB"/>
    <w:rsid w:val="401745A8"/>
    <w:rsid w:val="4021A466"/>
    <w:rsid w:val="40F588F9"/>
    <w:rsid w:val="411550F2"/>
    <w:rsid w:val="414656A4"/>
    <w:rsid w:val="414FA928"/>
    <w:rsid w:val="4179BE37"/>
    <w:rsid w:val="4237FCB6"/>
    <w:rsid w:val="42899344"/>
    <w:rsid w:val="4323614F"/>
    <w:rsid w:val="44DA4B19"/>
    <w:rsid w:val="45BA02EB"/>
    <w:rsid w:val="477D8DD0"/>
    <w:rsid w:val="48847F8F"/>
    <w:rsid w:val="48A75A7D"/>
    <w:rsid w:val="49319478"/>
    <w:rsid w:val="49F75E17"/>
    <w:rsid w:val="4A0E6F28"/>
    <w:rsid w:val="4A813388"/>
    <w:rsid w:val="4AD11914"/>
    <w:rsid w:val="4B04D6CE"/>
    <w:rsid w:val="4B839B25"/>
    <w:rsid w:val="4C5C0CD5"/>
    <w:rsid w:val="4CE4C984"/>
    <w:rsid w:val="4D40AFF0"/>
    <w:rsid w:val="4DED7CD2"/>
    <w:rsid w:val="4EE90552"/>
    <w:rsid w:val="4F5DB890"/>
    <w:rsid w:val="4F80106E"/>
    <w:rsid w:val="4FA36698"/>
    <w:rsid w:val="4FFD062D"/>
    <w:rsid w:val="502C068F"/>
    <w:rsid w:val="503B80C0"/>
    <w:rsid w:val="5067D75E"/>
    <w:rsid w:val="50733EA0"/>
    <w:rsid w:val="5090EB19"/>
    <w:rsid w:val="50B18764"/>
    <w:rsid w:val="50EF66A9"/>
    <w:rsid w:val="510D8654"/>
    <w:rsid w:val="52FDCB1F"/>
    <w:rsid w:val="5300E9AF"/>
    <w:rsid w:val="53233EDC"/>
    <w:rsid w:val="535A1DE8"/>
    <w:rsid w:val="53874EA1"/>
    <w:rsid w:val="5414CC2C"/>
    <w:rsid w:val="549372D8"/>
    <w:rsid w:val="57F144A5"/>
    <w:rsid w:val="581E057A"/>
    <w:rsid w:val="5826A58B"/>
    <w:rsid w:val="589E0B61"/>
    <w:rsid w:val="58D39B36"/>
    <w:rsid w:val="58E0E605"/>
    <w:rsid w:val="5944BD47"/>
    <w:rsid w:val="5A352B73"/>
    <w:rsid w:val="5A7C87B7"/>
    <w:rsid w:val="5AEE5F17"/>
    <w:rsid w:val="5B1A3813"/>
    <w:rsid w:val="5BD7B309"/>
    <w:rsid w:val="5C1CF77A"/>
    <w:rsid w:val="5C1D4861"/>
    <w:rsid w:val="5C6B32E6"/>
    <w:rsid w:val="5D05F5C1"/>
    <w:rsid w:val="5D89CB4F"/>
    <w:rsid w:val="5DD2D0AD"/>
    <w:rsid w:val="5E15CC2F"/>
    <w:rsid w:val="5F508A8A"/>
    <w:rsid w:val="5F63FE48"/>
    <w:rsid w:val="5FF50254"/>
    <w:rsid w:val="609B4522"/>
    <w:rsid w:val="60B71829"/>
    <w:rsid w:val="614DF0E1"/>
    <w:rsid w:val="617E5838"/>
    <w:rsid w:val="618433B6"/>
    <w:rsid w:val="6332A221"/>
    <w:rsid w:val="63805C5D"/>
    <w:rsid w:val="63D2A489"/>
    <w:rsid w:val="6401F291"/>
    <w:rsid w:val="6519FC9A"/>
    <w:rsid w:val="6525B3B7"/>
    <w:rsid w:val="65AFB5D5"/>
    <w:rsid w:val="661974E4"/>
    <w:rsid w:val="6645ABD6"/>
    <w:rsid w:val="66A9923C"/>
    <w:rsid w:val="673C6D56"/>
    <w:rsid w:val="692B4F91"/>
    <w:rsid w:val="698CA150"/>
    <w:rsid w:val="69E564DD"/>
    <w:rsid w:val="6C3F6DE6"/>
    <w:rsid w:val="6CDC7068"/>
    <w:rsid w:val="6D284C96"/>
    <w:rsid w:val="6D48A03F"/>
    <w:rsid w:val="6D88F558"/>
    <w:rsid w:val="6DCCA800"/>
    <w:rsid w:val="6DE0733C"/>
    <w:rsid w:val="6DF301CA"/>
    <w:rsid w:val="6E2413A4"/>
    <w:rsid w:val="6E31EDFD"/>
    <w:rsid w:val="6E463704"/>
    <w:rsid w:val="6E978997"/>
    <w:rsid w:val="7088C0C1"/>
    <w:rsid w:val="7224C64A"/>
    <w:rsid w:val="723C7CBA"/>
    <w:rsid w:val="724FF604"/>
    <w:rsid w:val="72A9BCEB"/>
    <w:rsid w:val="73FFBE9A"/>
    <w:rsid w:val="74319091"/>
    <w:rsid w:val="746DAFF7"/>
    <w:rsid w:val="74E1D75B"/>
    <w:rsid w:val="758E8FF5"/>
    <w:rsid w:val="75ADCA39"/>
    <w:rsid w:val="75CF333F"/>
    <w:rsid w:val="76511649"/>
    <w:rsid w:val="7666DF81"/>
    <w:rsid w:val="7880F253"/>
    <w:rsid w:val="796C456E"/>
    <w:rsid w:val="798DDDF7"/>
    <w:rsid w:val="799776DE"/>
    <w:rsid w:val="7A9D227A"/>
    <w:rsid w:val="7AA2C21C"/>
    <w:rsid w:val="7ADCDE4B"/>
    <w:rsid w:val="7BF92ADC"/>
    <w:rsid w:val="7C789611"/>
    <w:rsid w:val="7CA5D509"/>
    <w:rsid w:val="7E7BA01D"/>
    <w:rsid w:val="7ECC77CB"/>
    <w:rsid w:val="7F13FC2B"/>
    <w:rsid w:val="7F4B6363"/>
    <w:rsid w:val="7F6572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5F809"/>
  <w15:chartTrackingRefBased/>
  <w15:docId w15:val="{A05F2B8A-F3F5-483E-BD25-D7646C3B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63068"/>
  </w:style>
  <w:style w:type="paragraph" w:styleId="Ttulo1">
    <w:name w:val="heading 1"/>
    <w:basedOn w:val="Normal"/>
    <w:next w:val="Normal"/>
    <w:link w:val="Ttulo1Car"/>
    <w:uiPriority w:val="9"/>
    <w:qFormat/>
    <w:rsid w:val="0066306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6306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6306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6306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306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306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306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306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3068"/>
    <w:pPr>
      <w:keepNext/>
      <w:keepLines/>
      <w:spacing w:after="0"/>
      <w:outlineLvl w:val="8"/>
    </w:pPr>
    <w:rPr>
      <w:rFonts w:eastAsiaTheme="majorEastAsia" w:cstheme="majorBidi"/>
      <w:color w:val="272727" w:themeColor="text1" w:themeTint="D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663068"/>
    <w:rPr>
      <w:rFonts w:asciiTheme="majorHAnsi" w:hAnsiTheme="majorHAnsi" w:eastAsiaTheme="majorEastAsia" w:cstheme="majorBidi"/>
      <w:color w:val="0F4761" w:themeColor="accent1" w:themeShade="BF"/>
      <w:sz w:val="40"/>
      <w:szCs w:val="40"/>
    </w:rPr>
  </w:style>
  <w:style w:type="character" w:styleId="Ttulo2Car" w:customStyle="1">
    <w:name w:val="Título 2 Car"/>
    <w:basedOn w:val="Fuentedeprrafopredeter"/>
    <w:link w:val="Ttulo2"/>
    <w:uiPriority w:val="9"/>
    <w:semiHidden/>
    <w:rsid w:val="00663068"/>
    <w:rPr>
      <w:rFonts w:asciiTheme="majorHAnsi" w:hAnsiTheme="majorHAnsi" w:eastAsiaTheme="majorEastAsia" w:cstheme="majorBidi"/>
      <w:color w:val="0F4761" w:themeColor="accent1" w:themeShade="BF"/>
      <w:sz w:val="32"/>
      <w:szCs w:val="32"/>
    </w:rPr>
  </w:style>
  <w:style w:type="character" w:styleId="Ttulo3Car" w:customStyle="1">
    <w:name w:val="Título 3 Car"/>
    <w:basedOn w:val="Fuentedeprrafopredeter"/>
    <w:link w:val="Ttulo3"/>
    <w:uiPriority w:val="9"/>
    <w:semiHidden/>
    <w:rsid w:val="00663068"/>
    <w:rPr>
      <w:rFonts w:eastAsiaTheme="majorEastAsia" w:cstheme="majorBidi"/>
      <w:color w:val="0F4761" w:themeColor="accent1" w:themeShade="BF"/>
      <w:sz w:val="28"/>
      <w:szCs w:val="28"/>
    </w:rPr>
  </w:style>
  <w:style w:type="character" w:styleId="Ttulo4Car" w:customStyle="1">
    <w:name w:val="Título 4 Car"/>
    <w:basedOn w:val="Fuentedeprrafopredeter"/>
    <w:link w:val="Ttulo4"/>
    <w:uiPriority w:val="9"/>
    <w:semiHidden/>
    <w:rsid w:val="00663068"/>
    <w:rPr>
      <w:rFonts w:eastAsiaTheme="majorEastAsia" w:cstheme="majorBidi"/>
      <w:i/>
      <w:iCs/>
      <w:color w:val="0F4761" w:themeColor="accent1" w:themeShade="BF"/>
    </w:rPr>
  </w:style>
  <w:style w:type="character" w:styleId="Ttulo5Car" w:customStyle="1">
    <w:name w:val="Título 5 Car"/>
    <w:basedOn w:val="Fuentedeprrafopredeter"/>
    <w:link w:val="Ttulo5"/>
    <w:uiPriority w:val="9"/>
    <w:semiHidden/>
    <w:rsid w:val="00663068"/>
    <w:rPr>
      <w:rFonts w:eastAsiaTheme="majorEastAsia" w:cstheme="majorBidi"/>
      <w:color w:val="0F4761" w:themeColor="accent1" w:themeShade="BF"/>
    </w:rPr>
  </w:style>
  <w:style w:type="character" w:styleId="Ttulo6Car" w:customStyle="1">
    <w:name w:val="Título 6 Car"/>
    <w:basedOn w:val="Fuentedeprrafopredeter"/>
    <w:link w:val="Ttulo6"/>
    <w:uiPriority w:val="9"/>
    <w:semiHidden/>
    <w:rsid w:val="00663068"/>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663068"/>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663068"/>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663068"/>
    <w:rPr>
      <w:rFonts w:eastAsiaTheme="majorEastAsia" w:cstheme="majorBidi"/>
      <w:color w:val="272727" w:themeColor="text1" w:themeTint="D8"/>
    </w:rPr>
  </w:style>
  <w:style w:type="paragraph" w:styleId="Ttulo">
    <w:name w:val="Title"/>
    <w:basedOn w:val="Normal"/>
    <w:next w:val="Normal"/>
    <w:link w:val="TtuloCar"/>
    <w:uiPriority w:val="10"/>
    <w:qFormat/>
    <w:rsid w:val="00663068"/>
    <w:pPr>
      <w:spacing w:after="80" w:line="240" w:lineRule="auto"/>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663068"/>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663068"/>
    <w:pPr>
      <w:numPr>
        <w:ilvl w:val="1"/>
      </w:numPr>
    </w:pPr>
    <w:rPr>
      <w:rFonts w:eastAsiaTheme="majorEastAsia" w:cstheme="majorBidi"/>
      <w:color w:val="595959" w:themeColor="text1" w:themeTint="A6"/>
      <w:spacing w:val="15"/>
      <w:sz w:val="28"/>
      <w:szCs w:val="28"/>
    </w:rPr>
  </w:style>
  <w:style w:type="character" w:styleId="SubttuloCar" w:customStyle="1">
    <w:name w:val="Subtítulo Car"/>
    <w:basedOn w:val="Fuentedeprrafopredeter"/>
    <w:link w:val="Subttulo"/>
    <w:uiPriority w:val="11"/>
    <w:rsid w:val="0066306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3068"/>
    <w:pPr>
      <w:spacing w:before="160"/>
      <w:jc w:val="center"/>
    </w:pPr>
    <w:rPr>
      <w:i/>
      <w:iCs/>
      <w:color w:val="404040" w:themeColor="text1" w:themeTint="BF"/>
    </w:rPr>
  </w:style>
  <w:style w:type="character" w:styleId="CitaCar" w:customStyle="1">
    <w:name w:val="Cita Car"/>
    <w:basedOn w:val="Fuentedeprrafopredeter"/>
    <w:link w:val="Cita"/>
    <w:uiPriority w:val="29"/>
    <w:rsid w:val="00663068"/>
    <w:rPr>
      <w:i/>
      <w:iCs/>
      <w:color w:val="404040" w:themeColor="text1" w:themeTint="BF"/>
    </w:rPr>
  </w:style>
  <w:style w:type="paragraph" w:styleId="Prrafodelista">
    <w:name w:val="List Paragraph"/>
    <w:basedOn w:val="Normal"/>
    <w:uiPriority w:val="34"/>
    <w:qFormat/>
    <w:rsid w:val="00663068"/>
    <w:pPr>
      <w:ind w:left="720"/>
      <w:contextualSpacing/>
    </w:pPr>
  </w:style>
  <w:style w:type="character" w:styleId="nfasisintenso">
    <w:name w:val="Intense Emphasis"/>
    <w:basedOn w:val="Fuentedeprrafopredeter"/>
    <w:uiPriority w:val="21"/>
    <w:qFormat/>
    <w:rsid w:val="00663068"/>
    <w:rPr>
      <w:i/>
      <w:iCs/>
      <w:color w:val="0F4761" w:themeColor="accent1" w:themeShade="BF"/>
    </w:rPr>
  </w:style>
  <w:style w:type="paragraph" w:styleId="Citadestacada">
    <w:name w:val="Intense Quote"/>
    <w:basedOn w:val="Normal"/>
    <w:next w:val="Normal"/>
    <w:link w:val="CitadestacadaCar"/>
    <w:uiPriority w:val="30"/>
    <w:qFormat/>
    <w:rsid w:val="0066306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destacadaCar" w:customStyle="1">
    <w:name w:val="Cita destacada Car"/>
    <w:basedOn w:val="Fuentedeprrafopredeter"/>
    <w:link w:val="Citadestacada"/>
    <w:uiPriority w:val="30"/>
    <w:rsid w:val="00663068"/>
    <w:rPr>
      <w:i/>
      <w:iCs/>
      <w:color w:val="0F4761" w:themeColor="accent1" w:themeShade="BF"/>
    </w:rPr>
  </w:style>
  <w:style w:type="character" w:styleId="Referenciaintensa">
    <w:name w:val="Intense Reference"/>
    <w:basedOn w:val="Fuentedeprrafopredeter"/>
    <w:uiPriority w:val="32"/>
    <w:qFormat/>
    <w:rsid w:val="00663068"/>
    <w:rPr>
      <w:b/>
      <w:bCs/>
      <w:smallCaps/>
      <w:color w:val="0F4761" w:themeColor="accent1" w:themeShade="BF"/>
      <w:spacing w:val="5"/>
    </w:rPr>
  </w:style>
  <w:style w:type="character" w:styleId="Hipervnculo">
    <w:name w:val="Hyperlink"/>
    <w:basedOn w:val="Fuentedeprrafopredeter"/>
    <w:uiPriority w:val="99"/>
    <w:unhideWhenUsed/>
    <w:rsid w:val="00663068"/>
    <w:rPr>
      <w:color w:val="467886" w:themeColor="hyperlink"/>
      <w:u w:val="single"/>
    </w:rPr>
  </w:style>
  <w:style w:type="character" w:styleId="Mencinsinresolver">
    <w:name w:val="Unresolved Mention"/>
    <w:basedOn w:val="Fuentedeprrafopredeter"/>
    <w:uiPriority w:val="99"/>
    <w:semiHidden/>
    <w:unhideWhenUsed/>
    <w:rsid w:val="00663068"/>
    <w:rPr>
      <w:color w:val="605E5C"/>
      <w:shd w:val="clear" w:color="auto" w:fill="E1DFDD"/>
    </w:rPr>
  </w:style>
  <w:style w:type="paragraph" w:styleId="Encabezado">
    <w:name w:val="header"/>
    <w:basedOn w:val="Normal"/>
    <w:link w:val="EncabezadoCar"/>
    <w:uiPriority w:val="99"/>
    <w:unhideWhenUsed/>
    <w:rsid w:val="00663068"/>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663068"/>
  </w:style>
  <w:style w:type="paragraph" w:styleId="Piedepgina">
    <w:name w:val="footer"/>
    <w:basedOn w:val="Normal"/>
    <w:link w:val="PiedepginaCar"/>
    <w:uiPriority w:val="99"/>
    <w:unhideWhenUsed/>
    <w:rsid w:val="00663068"/>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663068"/>
  </w:style>
  <w:style w:type="table" w:styleId="Tablaconcuadrcula">
    <w:name w:val="Table Grid"/>
    <w:basedOn w:val="Tab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antonio@aletreo.com"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mmar@aletreo.com"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doccasfood.com/"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gracomsa.com/"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6194045EBA13A4FA4BE6A0717CD4DF9" ma:contentTypeVersion="21" ma:contentTypeDescription="Crear nuevo documento." ma:contentTypeScope="" ma:versionID="8632a18d7064c17ec348ab81cdd7b8fb">
  <xsd:schema xmlns:xsd="http://www.w3.org/2001/XMLSchema" xmlns:xs="http://www.w3.org/2001/XMLSchema" xmlns:p="http://schemas.microsoft.com/office/2006/metadata/properties" xmlns:ns2="7870b254-d888-4a2d-a344-0d5ceb826603" xmlns:ns3="034d05a8-5898-4ce1-a17b-935fecb04116" targetNamespace="http://schemas.microsoft.com/office/2006/metadata/properties" ma:root="true" ma:fieldsID="43d53928a4a493b6502f17b2cdac7895" ns2:_="" ns3:_="">
    <xsd:import namespace="7870b254-d888-4a2d-a344-0d5ceb826603"/>
    <xsd:import namespace="034d05a8-5898-4ce1-a17b-935fecb041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0b254-d888-4a2d-a344-0d5ceb826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50af38df-3dc0-4c43-9776-bf7c2583ca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4d05a8-5898-4ce1-a17b-935fecb04116"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b77c614-f447-4511-a76d-9a78c696986d}" ma:internalName="TaxCatchAll" ma:showField="CatchAllData" ma:web="034d05a8-5898-4ce1-a17b-935fecb04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34d05a8-5898-4ce1-a17b-935fecb04116" xsi:nil="true"/>
    <_Flow_SignoffStatus xmlns="7870b254-d888-4a2d-a344-0d5ceb826603" xsi:nil="true"/>
    <lcf76f155ced4ddcb4097134ff3c332f xmlns="7870b254-d888-4a2d-a344-0d5ceb82660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DB2938-62F5-4474-A17D-A7B7DD080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0b254-d888-4a2d-a344-0d5ceb826603"/>
    <ds:schemaRef ds:uri="034d05a8-5898-4ce1-a17b-935fecb04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C86C60-C3D6-45D8-A083-D0E803C8DE46}">
  <ds:schemaRefs>
    <ds:schemaRef ds:uri="http://schemas.microsoft.com/office/2006/metadata/properties"/>
    <ds:schemaRef ds:uri="http://schemas.microsoft.com/office/infopath/2007/PartnerControls"/>
    <ds:schemaRef ds:uri="034d05a8-5898-4ce1-a17b-935fecb04116"/>
    <ds:schemaRef ds:uri="7870b254-d888-4a2d-a344-0d5ceb826603"/>
  </ds:schemaRefs>
</ds:datastoreItem>
</file>

<file path=customXml/itemProps3.xml><?xml version="1.0" encoding="utf-8"?>
<ds:datastoreItem xmlns:ds="http://schemas.openxmlformats.org/officeDocument/2006/customXml" ds:itemID="{8AE8CCB7-0604-4BB3-A7F7-D4C098E03C2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Mª del Mar  Benlloch</dc:creator>
  <keywords/>
  <dc:description/>
  <lastModifiedBy>Mª del Mar  Benlloch</lastModifiedBy>
  <revision>22</revision>
  <dcterms:created xsi:type="dcterms:W3CDTF">2026-05-05T18:53:00.0000000Z</dcterms:created>
  <dcterms:modified xsi:type="dcterms:W3CDTF">2026-05-11T07:45:35.1810108Z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0x01010086194045EBA13A4FA4BE6A0717CD4DF9</vt:lpwstr>
  </property>
  <property fmtid="{D5CDD505-2E9C-101B-9397-08002B2CF9AE}" pid="3" name="MediaServiceImageTags">
    <vt:lpwstr/>
  </property>
</Properties>
</file>