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bCs w:val="1"/>
          <w:color w:val="00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bCs w:val="1"/>
          <w:color w:val="000000"/>
          <w:sz w:val="38"/>
          <w:szCs w:val="38"/>
        </w:rPr>
      </w:pPr>
      <w:r w:rsidDel="00000000" w:rsidR="00000000" w:rsidRPr="00000000">
        <w:rPr>
          <w:b w:val="1"/>
          <w:bCs w:val="1"/>
          <w:color w:val="000000"/>
          <w:sz w:val="38"/>
          <w:szCs w:val="38"/>
          <w:rtl w:val="0"/>
        </w:rPr>
        <w:t xml:space="preserve">Alimerka vuelve a teñir el verano de amarillo y de re</w:t>
      </w: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galos </w:t>
      </w:r>
      <w:r w:rsidDel="00000000" w:rsidR="00000000" w:rsidRPr="00000000">
        <w:rPr>
          <w:b w:val="1"/>
          <w:bCs w:val="1"/>
          <w:color w:val="000000"/>
          <w:sz w:val="38"/>
          <w:szCs w:val="38"/>
          <w:rtl w:val="0"/>
        </w:rPr>
        <w:t xml:space="preserve">con su campaña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38"/>
          <w:szCs w:val="38"/>
          <w:rtl w:val="0"/>
        </w:rPr>
        <w:t xml:space="preserve">Yellow Days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La iniciativa incorpora promociones, colaboración con marcas y el sorteo de dos Vespas para reforzar la fidelización de los clientes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  <w:bCs w:val="1"/>
          <w:color w:val="fff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Asturias, 19 de junio de 2026.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Alimerka da la bienvenida al verano con una de sus campañas más reconocibles y esperadas. Coincidiendo con el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Yellow Day</w:t>
      </w:r>
      <w:r w:rsidDel="00000000" w:rsidR="00000000" w:rsidRPr="00000000">
        <w:rPr>
          <w:b w:val="1"/>
          <w:bCs w:val="1"/>
          <w:rtl w:val="0"/>
        </w:rPr>
        <w:t xml:space="preserve">, considerado internacionalmente como el “día más feliz del año”</w:t>
      </w:r>
      <w:r w:rsidDel="00000000" w:rsidR="00000000" w:rsidRPr="00000000">
        <w:rPr>
          <w:rtl w:val="0"/>
        </w:rPr>
        <w:t xml:space="preserve">, la compañía lanza la </w:t>
      </w:r>
      <w:r w:rsidDel="00000000" w:rsidR="00000000" w:rsidRPr="00000000">
        <w:rPr>
          <w:b w:val="1"/>
          <w:bCs w:val="1"/>
          <w:rtl w:val="0"/>
        </w:rPr>
        <w:t xml:space="preserve">cuarta edición </w:t>
      </w:r>
      <w:r w:rsidDel="00000000" w:rsidR="00000000" w:rsidRPr="00000000">
        <w:rPr>
          <w:rtl w:val="0"/>
        </w:rPr>
        <w:t xml:space="preserve">consecutiva de una iniciativa que conecta de forma natural con uno de los elementos más representativos de su identidad, el color amarillo.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Desde 2023, la cadena de supermercados asturiana celebra esta fecha con una acción especial de agradecimiento a quienes confían cada día en la marca. Tras cuatro ediciones, la propuesta se ha consolidado como una cita destacada del calendario estival, con la que se pretende compartir optimismo, cercanía y experiencias positivas para sus clientes.</w:t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La campaña arrancará mañana sábado 20 de junio</w:t>
      </w:r>
      <w:r w:rsidDel="00000000" w:rsidR="00000000" w:rsidRPr="00000000">
        <w:rPr>
          <w:rtl w:val="0"/>
        </w:rPr>
        <w:t xml:space="preserve">, coincidiendo con la víspera del solsticio de verano, con una promoción especial en todos sus establecimientos. Quienes realicen </w:t>
      </w:r>
      <w:r w:rsidDel="00000000" w:rsidR="00000000" w:rsidRPr="00000000">
        <w:rPr>
          <w:b w:val="1"/>
          <w:bCs w:val="1"/>
          <w:rtl w:val="0"/>
        </w:rPr>
        <w:t xml:space="preserve">compras superiores a 40 euros recibirán un vale descuento de 6 euros</w:t>
      </w:r>
      <w:r w:rsidDel="00000000" w:rsidR="00000000" w:rsidRPr="00000000">
        <w:rPr>
          <w:rtl w:val="0"/>
        </w:rPr>
        <w:t xml:space="preserve"> para futuras adquisiciones, así como una exclusiva </w:t>
      </w:r>
      <w:r w:rsidDel="00000000" w:rsidR="00000000" w:rsidRPr="00000000">
        <w:rPr>
          <w:b w:val="1"/>
          <w:bCs w:val="1"/>
          <w:rtl w:val="0"/>
        </w:rPr>
        <w:t xml:space="preserve">bolsa de playa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Yellow Days</w:t>
      </w:r>
      <w:r w:rsidDel="00000000" w:rsidR="00000000" w:rsidRPr="00000000">
        <w:rPr>
          <w:rtl w:val="0"/>
        </w:rPr>
        <w:t xml:space="preserve">, diseñada para acompañar los planes de estas vacaciones.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  <w:t xml:space="preserve">Durante </w:t>
      </w:r>
      <w:r w:rsidDel="00000000" w:rsidR="00000000" w:rsidRPr="00000000">
        <w:rPr>
          <w:b w:val="1"/>
          <w:bCs w:val="1"/>
          <w:rtl w:val="0"/>
        </w:rPr>
        <w:t xml:space="preserve">los meses de julio y agosto Alimerka prolongará este “espíritu amarillo” con nuevas acciones promocionales,</w:t>
      </w:r>
      <w:r w:rsidDel="00000000" w:rsidR="00000000" w:rsidRPr="00000000">
        <w:rPr>
          <w:rtl w:val="0"/>
        </w:rPr>
        <w:t xml:space="preserve"> artículos exclusivos de temporada, sorteos, dinámicas participativas y otras sorpresas orientadas a agradecer la confianza de sus clientes y premiar su fidelidad, generando además momentos de conexión y disfrute que trascienden el acto de compra. Además, y como gran novedad de esta edición, </w:t>
      </w:r>
      <w:r w:rsidDel="00000000" w:rsidR="00000000" w:rsidRPr="00000000">
        <w:rPr>
          <w:b w:val="1"/>
          <w:bCs w:val="1"/>
          <w:rtl w:val="0"/>
        </w:rPr>
        <w:t xml:space="preserve">se sortearán dos motocicletas Vespa, una en julio y otra en agosto</w:t>
      </w:r>
      <w:r w:rsidDel="00000000" w:rsidR="00000000" w:rsidRPr="00000000">
        <w:rPr>
          <w:rtl w:val="0"/>
        </w:rPr>
        <w:t xml:space="preserve">. Esta acción se encuadra en el </w:t>
      </w:r>
      <w:r w:rsidDel="00000000" w:rsidR="00000000" w:rsidRPr="00000000">
        <w:rPr>
          <w:b w:val="1"/>
          <w:bCs w:val="1"/>
          <w:rtl w:val="0"/>
        </w:rPr>
        <w:t xml:space="preserve">proyecto de retail media “Alimerka for brands”</w:t>
      </w:r>
      <w:r w:rsidDel="00000000" w:rsidR="00000000" w:rsidRPr="00000000">
        <w:rPr>
          <w:rtl w:val="0"/>
        </w:rPr>
        <w:t xml:space="preserve"> y consiste en que los clientes podrán optar a estos premios realizando una compra superior a 40 euros que incluya al menos un producto de alguna de las marcas participantes en la promoción.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La compañía reforzará la visibilidad de la campaña en el entorno digital mediante la </w:t>
      </w:r>
      <w:r w:rsidDel="00000000" w:rsidR="00000000" w:rsidRPr="00000000">
        <w:rPr>
          <w:b w:val="1"/>
          <w:bCs w:val="1"/>
          <w:rtl w:val="0"/>
        </w:rPr>
        <w:t xml:space="preserve">colaboración con creadores de contenido,</w:t>
      </w:r>
      <w:r w:rsidDel="00000000" w:rsidR="00000000" w:rsidRPr="00000000">
        <w:rPr>
          <w:rtl w:val="0"/>
        </w:rPr>
        <w:t xml:space="preserve"> que contribuirán a amplificar su alcance en redes sociales y a conectar con nuevos públicos.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 esta cuarta edición, Alimerka reafirma su compromiso con una forma de entender la distribución basada en la cercanía, la confianza y la generación de valor para las personas. Una filosofía que vuelve a teñirse de amarillo para celebrar la época más luminosa del año.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Sobre ALIMERKA</w:t>
      </w: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Alimerka es una empresa asturiana distribuidora de productos de gran consumo. En la actualidad cuenta con más de 6.800 empleados y 170 supermercados en Asturias, León, Valladolid, Burgos, Zamora y Lugo (A Mariña). Su misión es garantizar a los consumidores una oferta única de productos de máxima calidad y origen controlado, gracias a una producción propia líder, un equipo comprometido y una cadena de suministro justa que protege al sector primario local.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  <w:tab w:val="right" w:leader="none" w:pos="8478"/>
      </w:tabs>
      <w:spacing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Para más información:</w:t>
    </w:r>
  </w:p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  <w:tab w:val="right" w:leader="none" w:pos="8478"/>
      </w:tabs>
      <w:spacing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Marta López Tejerina. Responsable de Comunicación Corporativa. Tfno: 639039838</w:t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  <w:tab w:val="right" w:leader="none" w:pos="8478"/>
      </w:tabs>
      <w:spacing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Marta Margolles Castejón. Comunicación Profesional. Tfno.: 630722410</w:t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  <w:tab w:val="right" w:leader="none" w:pos="8478"/>
      </w:tabs>
      <w:spacing w:line="240" w:lineRule="auto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2213137</wp:posOffset>
          </wp:positionH>
          <wp:positionV relativeFrom="paragraph">
            <wp:posOffset>-342898</wp:posOffset>
          </wp:positionV>
          <wp:extent cx="1304925" cy="940117"/>
          <wp:effectExtent b="0" l="0" r="0" t="0"/>
          <wp:wrapNone/>
          <wp:docPr descr="Logotipo&#10;&#10;Descripción generada automáticamente" id="1" name="image1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9401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C5+tnnd0FuKvchQ6JPhKlwOIVA==">CgMxLjA4AHIhMXRfaDJfMGlHRGNtQkpuc3FIaWdfRDRNVHRrV1pIYXFX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