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D89D" w14:textId="5B1D9576" w:rsidR="00F65868" w:rsidRPr="00F65868" w:rsidRDefault="00C30DA4" w:rsidP="00C30DA4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60"/>
        <w:jc w:val="center"/>
        <w:rPr>
          <w:rFonts w:ascii="Calibri" w:eastAsia="Calibri" w:hAnsi="Calibri" w:cs="Calibri"/>
          <w:b/>
          <w:bCs/>
          <w:sz w:val="40"/>
          <w:szCs w:val="40"/>
          <w:lang w:val="es-ES"/>
        </w:rPr>
      </w:pPr>
      <w:r w:rsidRPr="00C30DA4">
        <w:rPr>
          <w:rFonts w:ascii="Calibri" w:eastAsia="Calibri" w:hAnsi="Calibri" w:cs="Calibri"/>
          <w:b/>
          <w:bCs/>
          <w:i/>
          <w:iCs/>
          <w:sz w:val="40"/>
          <w:szCs w:val="40"/>
          <w:lang w:val="es-ES"/>
        </w:rPr>
        <w:t xml:space="preserve">La biotecnología </w:t>
      </w:r>
      <w:r w:rsidR="006F101B">
        <w:rPr>
          <w:rFonts w:ascii="Calibri" w:eastAsia="Calibri" w:hAnsi="Calibri" w:cs="Calibri"/>
          <w:b/>
          <w:bCs/>
          <w:i/>
          <w:iCs/>
          <w:sz w:val="40"/>
          <w:szCs w:val="40"/>
          <w:lang w:val="es-ES"/>
        </w:rPr>
        <w:t>contribuirá a disminuir la dependencia del campo de la geopolítica</w:t>
      </w:r>
    </w:p>
    <w:p w14:paraId="4085CC3E" w14:textId="5085E375" w:rsidR="00C54395" w:rsidRPr="00C30DA4" w:rsidRDefault="00C30DA4" w:rsidP="00C30D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  <w:lang w:val="es-ES"/>
        </w:rPr>
      </w:pPr>
      <w:r w:rsidRPr="00C30DA4">
        <w:rPr>
          <w:rFonts w:asciiTheme="majorHAnsi" w:eastAsia="Calibri" w:hAnsiTheme="majorHAnsi" w:cstheme="majorHAnsi"/>
          <w:b/>
          <w:color w:val="000000"/>
          <w:sz w:val="22"/>
          <w:szCs w:val="22"/>
          <w:lang w:val="es-ES"/>
        </w:rPr>
        <w:t>El Grupo Alimentario de Innovación y Sostenibilidad ha reunido en una jornada, patrocinada por Fertinagro Biotech a los principales actores de la cadena para analizar cómo la biotecnología puede</w:t>
      </w:r>
      <w:r w:rsidR="00CA3415">
        <w:rPr>
          <w:rFonts w:asciiTheme="majorHAnsi" w:eastAsia="Calibri" w:hAnsiTheme="majorHAnsi" w:cstheme="majorHAnsi"/>
          <w:b/>
          <w:color w:val="000000"/>
          <w:sz w:val="22"/>
          <w:szCs w:val="22"/>
          <w:lang w:val="es-ES"/>
        </w:rPr>
        <w:t xml:space="preserve"> ayudar a</w:t>
      </w:r>
      <w:r w:rsidRPr="00C30DA4">
        <w:rPr>
          <w:rFonts w:asciiTheme="majorHAnsi" w:eastAsia="Calibri" w:hAnsiTheme="majorHAnsi" w:cstheme="majorHAnsi"/>
          <w:b/>
          <w:color w:val="000000"/>
          <w:sz w:val="22"/>
          <w:szCs w:val="22"/>
          <w:lang w:val="es-ES"/>
        </w:rPr>
        <w:t xml:space="preserve"> </w:t>
      </w:r>
      <w:r w:rsidR="00CA3415">
        <w:rPr>
          <w:rFonts w:asciiTheme="majorHAnsi" w:eastAsia="Calibri" w:hAnsiTheme="majorHAnsi" w:cstheme="majorHAnsi"/>
          <w:b/>
          <w:color w:val="000000"/>
          <w:sz w:val="22"/>
          <w:szCs w:val="22"/>
          <w:lang w:val="es-ES"/>
        </w:rPr>
        <w:t>disminuir</w:t>
      </w:r>
      <w:r w:rsidRPr="00C30DA4">
        <w:rPr>
          <w:rFonts w:asciiTheme="majorHAnsi" w:eastAsia="Calibri" w:hAnsiTheme="majorHAnsi" w:cstheme="majorHAnsi"/>
          <w:b/>
          <w:color w:val="000000"/>
          <w:sz w:val="22"/>
          <w:szCs w:val="22"/>
          <w:lang w:val="es-ES"/>
        </w:rPr>
        <w:t xml:space="preserve"> la dependencia exterior en fertilizantes</w:t>
      </w:r>
    </w:p>
    <w:p w14:paraId="1095FDDA" w14:textId="4599A2CE" w:rsidR="00C30DA4" w:rsidRPr="00C30DA4" w:rsidRDefault="00C30DA4" w:rsidP="00C30DA4">
      <w:pPr>
        <w:pStyle w:val="font-claude-response-body"/>
        <w:numPr>
          <w:ilvl w:val="0"/>
          <w:numId w:val="2"/>
        </w:num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30DA4">
        <w:rPr>
          <w:rStyle w:val="nfasis"/>
          <w:rFonts w:asciiTheme="majorHAnsi" w:hAnsiTheme="majorHAnsi" w:cstheme="majorHAnsi"/>
          <w:b/>
          <w:i w:val="0"/>
          <w:iCs w:val="0"/>
          <w:sz w:val="22"/>
          <w:szCs w:val="22"/>
        </w:rPr>
        <w:t xml:space="preserve">La biotecnología de precisión puede cortar </w:t>
      </w:r>
      <w:r w:rsidR="00CA3415">
        <w:rPr>
          <w:rStyle w:val="nfasis"/>
          <w:rFonts w:asciiTheme="majorHAnsi" w:hAnsiTheme="majorHAnsi" w:cstheme="majorHAnsi"/>
          <w:b/>
          <w:i w:val="0"/>
          <w:iCs w:val="0"/>
          <w:sz w:val="22"/>
          <w:szCs w:val="22"/>
        </w:rPr>
        <w:t xml:space="preserve">la dependencia que los agricultores tienen hoy en día del uso de fertilizantes </w:t>
      </w:r>
      <w:r w:rsidRPr="00C30DA4">
        <w:rPr>
          <w:rStyle w:val="nfasis"/>
          <w:rFonts w:asciiTheme="majorHAnsi" w:hAnsiTheme="majorHAnsi" w:cstheme="majorHAnsi"/>
          <w:b/>
          <w:i w:val="0"/>
          <w:iCs w:val="0"/>
          <w:sz w:val="22"/>
          <w:szCs w:val="22"/>
        </w:rPr>
        <w:t>y reducir la factura del agricultor hasta un 32%, sin perder rendimiento</w:t>
      </w:r>
    </w:p>
    <w:p w14:paraId="073D894E" w14:textId="145B5CD7" w:rsidR="0052606A" w:rsidRPr="0052606A" w:rsidRDefault="002B2F7C" w:rsidP="0033263A">
      <w:pPr>
        <w:spacing w:before="100" w:after="100"/>
        <w:jc w:val="both"/>
        <w:rPr>
          <w:rFonts w:asciiTheme="majorHAnsi" w:eastAsia="Calibri" w:hAnsiTheme="majorHAnsi" w:cstheme="majorHAnsi"/>
          <w:color w:val="000000"/>
          <w:sz w:val="22"/>
          <w:szCs w:val="22"/>
          <w:lang w:val="es-ES"/>
        </w:rPr>
      </w:pPr>
      <w:r w:rsidRPr="00834FB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Madrid, </w:t>
      </w:r>
      <w:r w:rsidR="00CA3415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26</w:t>
      </w:r>
      <w:r w:rsidRPr="00834FB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de </w:t>
      </w:r>
      <w:r w:rsidR="00834FBC" w:rsidRPr="00834FB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junio</w:t>
      </w:r>
      <w:r w:rsidRPr="00834FB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de 202</w:t>
      </w:r>
      <w:r w:rsidR="00CB4A61" w:rsidRPr="00834FB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6</w:t>
      </w:r>
      <w:r w:rsidRPr="00834FB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.-</w:t>
      </w:r>
      <w:r w:rsidRPr="00834FB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52606A" w:rsidRPr="0052606A">
        <w:rPr>
          <w:rFonts w:asciiTheme="majorHAnsi" w:eastAsia="Calibri" w:hAnsiTheme="majorHAnsi" w:cstheme="majorHAnsi"/>
          <w:color w:val="000000"/>
          <w:sz w:val="22"/>
          <w:szCs w:val="22"/>
          <w:lang w:val="es-ES"/>
        </w:rPr>
        <w:t xml:space="preserve">El </w:t>
      </w:r>
      <w:r w:rsidR="0052606A" w:rsidRPr="0052606A">
        <w:rPr>
          <w:rFonts w:asciiTheme="majorHAnsi" w:eastAsia="Calibri" w:hAnsiTheme="majorHAnsi" w:cstheme="majorHAnsi"/>
          <w:b/>
          <w:bCs/>
          <w:color w:val="000000"/>
          <w:sz w:val="22"/>
          <w:szCs w:val="22"/>
          <w:lang w:val="es-ES"/>
        </w:rPr>
        <w:t>consumo de alimentos en los hogares ha caído un 7% en el último periodo</w:t>
      </w:r>
      <w:r w:rsidR="0052606A">
        <w:rPr>
          <w:rFonts w:asciiTheme="majorHAnsi" w:eastAsia="Calibri" w:hAnsiTheme="majorHAnsi" w:cstheme="majorHAnsi"/>
          <w:b/>
          <w:bCs/>
          <w:color w:val="000000"/>
          <w:sz w:val="22"/>
          <w:szCs w:val="22"/>
          <w:lang w:val="es-ES"/>
        </w:rPr>
        <w:t xml:space="preserve"> </w:t>
      </w:r>
      <w:r w:rsidR="0052606A">
        <w:rPr>
          <w:rFonts w:asciiTheme="majorHAnsi" w:eastAsia="Calibri" w:hAnsiTheme="majorHAnsi" w:cstheme="majorHAnsi"/>
          <w:color w:val="000000"/>
          <w:sz w:val="22"/>
          <w:szCs w:val="22"/>
          <w:lang w:val="es-ES"/>
        </w:rPr>
        <w:t>debido</w:t>
      </w:r>
      <w:r w:rsidR="0052606A" w:rsidRPr="0052606A">
        <w:rPr>
          <w:rFonts w:asciiTheme="majorHAnsi" w:eastAsia="Calibri" w:hAnsiTheme="majorHAnsi" w:cstheme="majorHAnsi"/>
          <w:color w:val="000000"/>
          <w:sz w:val="22"/>
          <w:szCs w:val="22"/>
          <w:lang w:val="es-ES"/>
        </w:rPr>
        <w:t xml:space="preserve"> </w:t>
      </w:r>
      <w:r w:rsidR="0052606A">
        <w:rPr>
          <w:rFonts w:asciiTheme="majorHAnsi" w:eastAsia="Calibri" w:hAnsiTheme="majorHAnsi" w:cstheme="majorHAnsi"/>
          <w:color w:val="000000"/>
          <w:sz w:val="22"/>
          <w:szCs w:val="22"/>
          <w:lang w:val="es-ES"/>
        </w:rPr>
        <w:t>a</w:t>
      </w:r>
      <w:r w:rsidR="0052606A" w:rsidRPr="0052606A">
        <w:rPr>
          <w:rFonts w:asciiTheme="majorHAnsi" w:eastAsia="Calibri" w:hAnsiTheme="majorHAnsi" w:cstheme="majorHAnsi"/>
          <w:color w:val="000000"/>
          <w:sz w:val="22"/>
          <w:szCs w:val="22"/>
          <w:lang w:val="es-ES"/>
        </w:rPr>
        <w:t>l IPC, una evolución directamente asociada al impacto de la inflación y al encarecimiento general de la cesta de la compra. Este ajuste en la demanda del consumidor se suma a un contexto de presión sostenida sobre los precios alimentarios, donde el coste de producción en el campo sigue siendo un factor determinante.</w:t>
      </w:r>
    </w:p>
    <w:p w14:paraId="525BF574" w14:textId="173FD791" w:rsidR="0033263A" w:rsidRPr="0033263A" w:rsidRDefault="00834FBC" w:rsidP="0033263A">
      <w:pPr>
        <w:spacing w:before="100" w:after="100"/>
        <w:jc w:val="both"/>
        <w:rPr>
          <w:rFonts w:asciiTheme="majorHAnsi" w:eastAsia="Arial" w:hAnsiTheme="majorHAnsi" w:cstheme="majorHAnsi"/>
          <w:sz w:val="22"/>
          <w:szCs w:val="22"/>
          <w:lang w:val="es-ES"/>
        </w:rPr>
      </w:pPr>
      <w:r w:rsidRPr="00834FBC">
        <w:rPr>
          <w:rFonts w:asciiTheme="majorHAnsi" w:eastAsia="Arial" w:hAnsiTheme="majorHAnsi" w:cstheme="majorHAnsi"/>
          <w:sz w:val="22"/>
          <w:szCs w:val="22"/>
        </w:rPr>
        <w:t xml:space="preserve">El precio del pan, de las hortalizas o de la carne depende, en buena medida, de lo que cueste abonar los campos. Y ese coste ha pasado a estar dictado, cada vez más, por conflictos </w:t>
      </w:r>
      <w:r w:rsidR="00CA3415">
        <w:rPr>
          <w:rFonts w:asciiTheme="majorHAnsi" w:eastAsia="Arial" w:hAnsiTheme="majorHAnsi" w:cstheme="majorHAnsi"/>
          <w:sz w:val="22"/>
          <w:szCs w:val="22"/>
        </w:rPr>
        <w:t>en diferentes partes</w:t>
      </w:r>
      <w:r w:rsidRPr="00834FBC">
        <w:rPr>
          <w:rFonts w:asciiTheme="majorHAnsi" w:eastAsia="Arial" w:hAnsiTheme="majorHAnsi" w:cstheme="majorHAnsi"/>
          <w:sz w:val="22"/>
          <w:szCs w:val="22"/>
        </w:rPr>
        <w:t xml:space="preserve"> del planeta. España importa más del </w:t>
      </w:r>
      <w:r w:rsidRPr="00834FBC">
        <w:rPr>
          <w:rFonts w:asciiTheme="majorHAnsi" w:eastAsia="Arial" w:hAnsiTheme="majorHAnsi" w:cstheme="majorHAnsi"/>
          <w:b/>
          <w:bCs/>
          <w:sz w:val="22"/>
          <w:szCs w:val="22"/>
        </w:rPr>
        <w:t>80% del nitrógeno</w:t>
      </w:r>
      <w:r w:rsidRPr="00834FBC">
        <w:rPr>
          <w:rFonts w:asciiTheme="majorHAnsi" w:eastAsia="Arial" w:hAnsiTheme="majorHAnsi" w:cstheme="majorHAnsi"/>
          <w:sz w:val="22"/>
          <w:szCs w:val="22"/>
        </w:rPr>
        <w:t xml:space="preserve"> que consume su agricultura, una dependencia que convierte cualquier tensión geopo</w:t>
      </w:r>
      <w:r w:rsidR="00CA3415">
        <w:rPr>
          <w:rFonts w:asciiTheme="majorHAnsi" w:eastAsia="Arial" w:hAnsiTheme="majorHAnsi" w:cstheme="majorHAnsi"/>
          <w:sz w:val="22"/>
          <w:szCs w:val="22"/>
        </w:rPr>
        <w:t>l</w:t>
      </w:r>
      <w:r w:rsidRPr="00834FBC">
        <w:rPr>
          <w:rFonts w:asciiTheme="majorHAnsi" w:eastAsia="Arial" w:hAnsiTheme="majorHAnsi" w:cstheme="majorHAnsi"/>
          <w:sz w:val="22"/>
          <w:szCs w:val="22"/>
        </w:rPr>
        <w:t xml:space="preserve">ítica —desde el bloqueo de un estrecho marítimo hasta una crisis energética europea— en una subida directa en la cesta de la compra. </w:t>
      </w:r>
      <w:r w:rsidR="0033263A" w:rsidRPr="0033263A">
        <w:rPr>
          <w:rFonts w:asciiTheme="majorHAnsi" w:eastAsia="Arial" w:hAnsiTheme="majorHAnsi" w:cstheme="majorHAnsi"/>
          <w:sz w:val="22"/>
          <w:szCs w:val="22"/>
          <w:lang w:val="es-ES"/>
        </w:rPr>
        <w:t xml:space="preserve">Esta dependencia coincide con un escenario internacional marcado por la incertidumbre económica. Según </w:t>
      </w:r>
      <w:r w:rsidR="0033263A">
        <w:rPr>
          <w:rFonts w:asciiTheme="majorHAnsi" w:eastAsia="Arial" w:hAnsiTheme="majorHAnsi" w:cstheme="majorHAnsi"/>
          <w:sz w:val="22"/>
          <w:szCs w:val="22"/>
          <w:lang w:val="es-ES"/>
        </w:rPr>
        <w:t>un</w:t>
      </w:r>
      <w:r w:rsidR="0033263A" w:rsidRPr="0033263A">
        <w:rPr>
          <w:rFonts w:asciiTheme="majorHAnsi" w:eastAsia="Arial" w:hAnsiTheme="majorHAnsi" w:cstheme="majorHAnsi"/>
          <w:sz w:val="22"/>
          <w:szCs w:val="22"/>
          <w:lang w:val="es-ES"/>
        </w:rPr>
        <w:t xml:space="preserve"> informe de </w:t>
      </w:r>
      <w:r w:rsidR="0033263A">
        <w:rPr>
          <w:rFonts w:asciiTheme="majorHAnsi" w:eastAsia="Arial" w:hAnsiTheme="majorHAnsi" w:cstheme="majorHAnsi"/>
          <w:sz w:val="22"/>
          <w:szCs w:val="22"/>
          <w:lang w:val="es-ES"/>
        </w:rPr>
        <w:t xml:space="preserve">la </w:t>
      </w:r>
      <w:r w:rsidR="0033263A" w:rsidRPr="0033263A">
        <w:rPr>
          <w:rFonts w:asciiTheme="majorHAnsi" w:eastAsia="Arial" w:hAnsiTheme="majorHAnsi" w:cstheme="majorHAnsi"/>
          <w:sz w:val="22"/>
          <w:szCs w:val="22"/>
        </w:rPr>
        <w:t>Agencia Española de Crédito a la Exportación</w:t>
      </w:r>
      <w:r w:rsidR="0033263A" w:rsidRPr="0033263A">
        <w:rPr>
          <w:rFonts w:asciiTheme="majorHAnsi" w:eastAsia="Arial" w:hAnsiTheme="majorHAnsi" w:cstheme="majorHAnsi"/>
          <w:sz w:val="22"/>
          <w:szCs w:val="22"/>
          <w:lang w:val="es-ES"/>
        </w:rPr>
        <w:t xml:space="preserve"> </w:t>
      </w:r>
      <w:r w:rsidR="0033263A">
        <w:rPr>
          <w:rFonts w:asciiTheme="majorHAnsi" w:eastAsia="Arial" w:hAnsiTheme="majorHAnsi" w:cstheme="majorHAnsi"/>
          <w:sz w:val="22"/>
          <w:szCs w:val="22"/>
          <w:lang w:val="es-ES"/>
        </w:rPr>
        <w:t>(</w:t>
      </w:r>
      <w:r w:rsidR="0033263A" w:rsidRPr="0033263A">
        <w:rPr>
          <w:rFonts w:asciiTheme="majorHAnsi" w:eastAsia="Arial" w:hAnsiTheme="majorHAnsi" w:cstheme="majorHAnsi"/>
          <w:sz w:val="22"/>
          <w:szCs w:val="22"/>
          <w:lang w:val="es-ES"/>
        </w:rPr>
        <w:t>Cesce</w:t>
      </w:r>
      <w:r w:rsidR="0033263A">
        <w:rPr>
          <w:rFonts w:asciiTheme="majorHAnsi" w:eastAsia="Arial" w:hAnsiTheme="majorHAnsi" w:cstheme="majorHAnsi"/>
          <w:sz w:val="22"/>
          <w:szCs w:val="22"/>
          <w:lang w:val="es-ES"/>
        </w:rPr>
        <w:t>)</w:t>
      </w:r>
      <w:r w:rsidR="0033263A" w:rsidRPr="0033263A">
        <w:rPr>
          <w:rFonts w:asciiTheme="majorHAnsi" w:eastAsia="Arial" w:hAnsiTheme="majorHAnsi" w:cstheme="majorHAnsi"/>
          <w:sz w:val="22"/>
          <w:szCs w:val="22"/>
          <w:lang w:val="es-ES"/>
        </w:rPr>
        <w:t>, el encarecimiento de materias primas, las tensiones en las cadenas de suministro y el endurecimiento de la financiación internacional siguen condicionando el comercio y la inversión a escala global.</w:t>
      </w:r>
    </w:p>
    <w:p w14:paraId="74CCD837" w14:textId="2CE44F6A" w:rsidR="00834FBC" w:rsidRPr="00834FBC" w:rsidRDefault="00834FBC" w:rsidP="00834FBC">
      <w:pPr>
        <w:spacing w:before="100" w:after="100"/>
        <w:jc w:val="both"/>
        <w:rPr>
          <w:rFonts w:asciiTheme="majorHAnsi" w:hAnsiTheme="majorHAnsi" w:cstheme="majorHAnsi"/>
          <w:sz w:val="22"/>
          <w:szCs w:val="22"/>
        </w:rPr>
      </w:pPr>
      <w:r w:rsidRPr="00834FBC">
        <w:rPr>
          <w:rFonts w:asciiTheme="majorHAnsi" w:eastAsia="Arial" w:hAnsiTheme="majorHAnsi" w:cstheme="majorHAnsi"/>
          <w:sz w:val="22"/>
          <w:szCs w:val="22"/>
        </w:rPr>
        <w:t xml:space="preserve">Para debatir cómo romper este círculo, el </w:t>
      </w:r>
      <w:r w:rsidRPr="00834FBC">
        <w:rPr>
          <w:rFonts w:asciiTheme="majorHAnsi" w:eastAsia="Arial" w:hAnsiTheme="majorHAnsi" w:cstheme="majorHAnsi"/>
          <w:b/>
          <w:bCs/>
          <w:sz w:val="22"/>
          <w:szCs w:val="22"/>
        </w:rPr>
        <w:t>Grupo Alimentario de Innovación y Sostenibilidad (GIS)</w:t>
      </w:r>
      <w:r w:rsidRPr="00834FBC">
        <w:rPr>
          <w:rFonts w:asciiTheme="majorHAnsi" w:eastAsia="Arial" w:hAnsiTheme="majorHAnsi" w:cstheme="majorHAnsi"/>
          <w:sz w:val="22"/>
          <w:szCs w:val="22"/>
        </w:rPr>
        <w:t xml:space="preserve"> ha reunido a los principales actores de la cadena agroalimentaria en la jornada </w:t>
      </w:r>
      <w:r w:rsidRPr="00834FBC">
        <w:rPr>
          <w:rFonts w:asciiTheme="majorHAnsi" w:eastAsia="Arial" w:hAnsiTheme="majorHAnsi" w:cstheme="majorHAnsi"/>
          <w:b/>
          <w:bCs/>
          <w:i/>
          <w:iCs/>
          <w:sz w:val="22"/>
          <w:szCs w:val="22"/>
        </w:rPr>
        <w:t>“Soluciones tecnológicas competitivas para la producción de alimentos. Nuevas estrategias de fertilización para un futuro sostenible”</w:t>
      </w:r>
      <w:r w:rsidRPr="00834FBC">
        <w:rPr>
          <w:rFonts w:asciiTheme="majorHAnsi" w:eastAsia="Arial" w:hAnsiTheme="majorHAnsi" w:cstheme="majorHAnsi"/>
          <w:sz w:val="22"/>
          <w:szCs w:val="22"/>
        </w:rPr>
        <w:t xml:space="preserve">, con el patrocinio de </w:t>
      </w:r>
      <w:r w:rsidRPr="00834FBC">
        <w:rPr>
          <w:rFonts w:asciiTheme="majorHAnsi" w:eastAsia="Arial" w:hAnsiTheme="majorHAnsi" w:cstheme="majorHAnsi"/>
          <w:b/>
          <w:bCs/>
          <w:sz w:val="22"/>
          <w:szCs w:val="22"/>
        </w:rPr>
        <w:t>Fertinagro Biotech</w:t>
      </w:r>
      <w:r w:rsidRPr="00834FBC">
        <w:rPr>
          <w:rFonts w:asciiTheme="majorHAnsi" w:eastAsia="Arial" w:hAnsiTheme="majorHAnsi" w:cstheme="majorHAnsi"/>
          <w:sz w:val="22"/>
          <w:szCs w:val="22"/>
        </w:rPr>
        <w:t>.</w:t>
      </w:r>
    </w:p>
    <w:p w14:paraId="310DBDAB" w14:textId="77777777" w:rsidR="00834FBC" w:rsidRPr="00834FBC" w:rsidRDefault="00834FBC" w:rsidP="00834FBC">
      <w:pPr>
        <w:spacing w:before="100" w:after="100"/>
        <w:jc w:val="both"/>
        <w:rPr>
          <w:rFonts w:asciiTheme="majorHAnsi" w:hAnsiTheme="majorHAnsi" w:cstheme="majorHAnsi"/>
          <w:sz w:val="22"/>
          <w:szCs w:val="22"/>
        </w:rPr>
      </w:pPr>
      <w:r w:rsidRPr="00834FBC">
        <w:rPr>
          <w:rFonts w:asciiTheme="majorHAnsi" w:eastAsia="Arial" w:hAnsiTheme="majorHAnsi" w:cstheme="majorHAnsi"/>
          <w:sz w:val="22"/>
          <w:szCs w:val="22"/>
        </w:rPr>
        <w:t xml:space="preserve">La urgencia del encuentro tiene nombre y fecha: el pasado </w:t>
      </w:r>
      <w:r w:rsidRPr="00834FBC">
        <w:rPr>
          <w:rFonts w:asciiTheme="majorHAnsi" w:eastAsia="Arial" w:hAnsiTheme="majorHAnsi" w:cstheme="majorHAnsi"/>
          <w:b/>
          <w:bCs/>
          <w:sz w:val="22"/>
          <w:szCs w:val="22"/>
        </w:rPr>
        <w:t>19 de mayo, la Unión Europea aprobó su nuevo Plan de Acción sobre Fertilizantes</w:t>
      </w:r>
      <w:r w:rsidRPr="00834FBC">
        <w:rPr>
          <w:rFonts w:asciiTheme="majorHAnsi" w:eastAsia="Arial" w:hAnsiTheme="majorHAnsi" w:cstheme="majorHAnsi"/>
          <w:sz w:val="22"/>
          <w:szCs w:val="22"/>
        </w:rPr>
        <w:t>, que exige a los Estados miembros acelerar la transición hacia fertilizantes de producción propia, circulares y bajos en carbono. Bruselas ha dejado claro que la soberanía alimentaria del continente no puede seguir dependiendo de los vaivenes de los mercados internacionales ni de los combustibles fósiles importados.</w:t>
      </w:r>
    </w:p>
    <w:p w14:paraId="56C7E7D1" w14:textId="77777777" w:rsidR="00834FBC" w:rsidRPr="00834FBC" w:rsidRDefault="00834FBC" w:rsidP="00834FBC">
      <w:pPr>
        <w:spacing w:before="180" w:after="120"/>
        <w:rPr>
          <w:rFonts w:asciiTheme="majorHAnsi" w:eastAsia="Arial" w:hAnsiTheme="majorHAnsi" w:cstheme="majorHAnsi"/>
          <w:b/>
          <w:bCs/>
          <w:sz w:val="22"/>
          <w:szCs w:val="22"/>
        </w:rPr>
      </w:pPr>
      <w:r w:rsidRPr="00834FBC">
        <w:rPr>
          <w:rFonts w:asciiTheme="majorHAnsi" w:eastAsia="Arial" w:hAnsiTheme="majorHAnsi" w:cstheme="majorHAnsi"/>
          <w:b/>
          <w:bCs/>
          <w:sz w:val="22"/>
          <w:szCs w:val="22"/>
        </w:rPr>
        <w:t>Del suelo al alimento: la ciencia tiene la respuesta</w:t>
      </w:r>
    </w:p>
    <w:p w14:paraId="5FDAA370" w14:textId="34F33905" w:rsidR="00834FBC" w:rsidRPr="00834FBC" w:rsidRDefault="00834FBC" w:rsidP="00834FBC">
      <w:pPr>
        <w:spacing w:before="100" w:after="100"/>
        <w:jc w:val="both"/>
        <w:rPr>
          <w:rFonts w:asciiTheme="majorHAnsi" w:hAnsiTheme="majorHAnsi" w:cstheme="majorHAnsi"/>
          <w:sz w:val="22"/>
          <w:szCs w:val="22"/>
        </w:rPr>
      </w:pPr>
      <w:r w:rsidRPr="00834FBC">
        <w:rPr>
          <w:rFonts w:asciiTheme="majorHAnsi" w:eastAsia="Arial" w:hAnsiTheme="majorHAnsi" w:cstheme="majorHAnsi"/>
          <w:sz w:val="22"/>
          <w:szCs w:val="22"/>
        </w:rPr>
        <w:t xml:space="preserve">La inauguración contó con la presencia de </w:t>
      </w:r>
      <w:r w:rsidRPr="00834FBC">
        <w:rPr>
          <w:rFonts w:asciiTheme="majorHAnsi" w:eastAsia="Arial" w:hAnsiTheme="majorHAnsi" w:cstheme="majorHAnsi"/>
          <w:b/>
          <w:bCs/>
          <w:sz w:val="22"/>
          <w:szCs w:val="22"/>
        </w:rPr>
        <w:t>Ana Rodríguez Castaño</w:t>
      </w:r>
      <w:r w:rsidRPr="00834FBC">
        <w:rPr>
          <w:rFonts w:asciiTheme="majorHAnsi" w:eastAsia="Arial" w:hAnsiTheme="majorHAnsi" w:cstheme="majorHAnsi"/>
          <w:sz w:val="22"/>
          <w:szCs w:val="22"/>
        </w:rPr>
        <w:t xml:space="preserve">, </w:t>
      </w:r>
      <w:r w:rsidR="00CA3415" w:rsidRPr="00834FBC">
        <w:rPr>
          <w:rFonts w:asciiTheme="majorHAnsi" w:eastAsia="Arial" w:hAnsiTheme="majorHAnsi" w:cstheme="majorHAnsi"/>
          <w:sz w:val="22"/>
          <w:szCs w:val="22"/>
        </w:rPr>
        <w:t>secretaria general</w:t>
      </w:r>
      <w:r w:rsidRPr="00834FBC">
        <w:rPr>
          <w:rFonts w:asciiTheme="majorHAnsi" w:eastAsia="Arial" w:hAnsiTheme="majorHAnsi" w:cstheme="majorHAnsi"/>
          <w:sz w:val="22"/>
          <w:szCs w:val="22"/>
        </w:rPr>
        <w:t xml:space="preserve"> de Recursos Agrarios y Seguridad Alimentaria del MAPA, </w:t>
      </w:r>
      <w:r w:rsidR="00CA3415">
        <w:rPr>
          <w:rFonts w:asciiTheme="majorHAnsi" w:eastAsia="Arial" w:hAnsiTheme="majorHAnsi" w:cstheme="majorHAnsi"/>
          <w:sz w:val="22"/>
          <w:szCs w:val="22"/>
        </w:rPr>
        <w:t xml:space="preserve">que está alineado </w:t>
      </w:r>
      <w:r w:rsidRPr="00834FBC">
        <w:rPr>
          <w:rFonts w:asciiTheme="majorHAnsi" w:eastAsia="Arial" w:hAnsiTheme="majorHAnsi" w:cstheme="majorHAnsi"/>
          <w:sz w:val="22"/>
          <w:szCs w:val="22"/>
        </w:rPr>
        <w:t>con la necesidad de acelerar la adopción de las nuevas tecnologías de fertilización y de trasladar a los agricultores el mensaje de que innovar no significa gastar má</w:t>
      </w:r>
      <w:r w:rsidR="006826BA">
        <w:rPr>
          <w:rFonts w:asciiTheme="majorHAnsi" w:eastAsia="Arial" w:hAnsiTheme="majorHAnsi" w:cstheme="majorHAnsi"/>
          <w:sz w:val="22"/>
          <w:szCs w:val="22"/>
        </w:rPr>
        <w:t>s</w:t>
      </w:r>
      <w:r w:rsidRPr="00834FBC">
        <w:rPr>
          <w:rFonts w:asciiTheme="majorHAnsi" w:eastAsia="Arial" w:hAnsiTheme="majorHAnsi" w:cstheme="majorHAnsi"/>
          <w:sz w:val="22"/>
          <w:szCs w:val="22"/>
        </w:rPr>
        <w:t>.</w:t>
      </w:r>
      <w:r w:rsidR="00CA3415">
        <w:rPr>
          <w:rFonts w:asciiTheme="majorHAnsi" w:eastAsia="Arial" w:hAnsiTheme="majorHAnsi" w:cstheme="majorHAnsi"/>
          <w:sz w:val="22"/>
          <w:szCs w:val="22"/>
        </w:rPr>
        <w:t xml:space="preserve"> </w:t>
      </w:r>
    </w:p>
    <w:p w14:paraId="4E152C0B" w14:textId="1A9CC99C" w:rsidR="00834FBC" w:rsidRPr="00834FBC" w:rsidRDefault="00834FBC" w:rsidP="00834FBC">
      <w:pPr>
        <w:spacing w:before="100" w:after="10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834FBC">
        <w:rPr>
          <w:rFonts w:asciiTheme="majorHAnsi" w:eastAsia="Arial" w:hAnsiTheme="majorHAnsi" w:cstheme="majorHAnsi"/>
          <w:b/>
          <w:bCs/>
          <w:sz w:val="22"/>
          <w:szCs w:val="22"/>
        </w:rPr>
        <w:t>Carlos García</w:t>
      </w:r>
      <w:r w:rsidR="00CA3415">
        <w:rPr>
          <w:rFonts w:asciiTheme="majorHAnsi" w:eastAsia="Arial" w:hAnsiTheme="majorHAnsi" w:cstheme="majorHAnsi"/>
          <w:b/>
          <w:bCs/>
          <w:sz w:val="22"/>
          <w:szCs w:val="22"/>
        </w:rPr>
        <w:t xml:space="preserve"> Izquierdo</w:t>
      </w:r>
      <w:r w:rsidRPr="00834FBC">
        <w:rPr>
          <w:rFonts w:asciiTheme="majorHAnsi" w:eastAsia="Arial" w:hAnsiTheme="majorHAnsi" w:cstheme="majorHAnsi"/>
          <w:sz w:val="22"/>
          <w:szCs w:val="22"/>
        </w:rPr>
        <w:t xml:space="preserve">, Profesor de Investigación del </w:t>
      </w:r>
      <w:r w:rsidRPr="00834FBC">
        <w:rPr>
          <w:rFonts w:asciiTheme="majorHAnsi" w:eastAsia="Arial" w:hAnsiTheme="majorHAnsi" w:cstheme="majorHAnsi"/>
          <w:b/>
          <w:bCs/>
          <w:sz w:val="22"/>
          <w:szCs w:val="22"/>
        </w:rPr>
        <w:t>CEBAS-CSIC</w:t>
      </w:r>
      <w:r w:rsidRPr="00834FBC">
        <w:rPr>
          <w:rFonts w:asciiTheme="majorHAnsi" w:eastAsia="Arial" w:hAnsiTheme="majorHAnsi" w:cstheme="majorHAnsi"/>
          <w:sz w:val="22"/>
          <w:szCs w:val="22"/>
        </w:rPr>
        <w:t xml:space="preserve">, abrió el debate científico con ponencia titulada “Nueva generación de fertilizantes funcionales: Del suelo al alimento”. Una biotecnología de precisión que, según los cálculos del sector, podría ahorrar al campo español entre </w:t>
      </w:r>
      <w:r w:rsidRPr="00834FBC">
        <w:rPr>
          <w:rFonts w:asciiTheme="majorHAnsi" w:eastAsia="Arial" w:hAnsiTheme="majorHAnsi" w:cstheme="majorHAnsi"/>
          <w:b/>
          <w:bCs/>
          <w:sz w:val="22"/>
          <w:szCs w:val="22"/>
        </w:rPr>
        <w:t>600 y 800 millones de euros al año</w:t>
      </w:r>
      <w:r w:rsidRPr="00834FBC">
        <w:rPr>
          <w:rFonts w:asciiTheme="majorHAnsi" w:eastAsia="Arial" w:hAnsiTheme="majorHAnsi" w:cstheme="majorHAnsi"/>
          <w:sz w:val="22"/>
          <w:szCs w:val="22"/>
        </w:rPr>
        <w:t xml:space="preserve">, con reducciones de hasta el </w:t>
      </w:r>
      <w:r w:rsidRPr="00834FBC">
        <w:rPr>
          <w:rFonts w:asciiTheme="majorHAnsi" w:eastAsia="Arial" w:hAnsiTheme="majorHAnsi" w:cstheme="majorHAnsi"/>
          <w:b/>
          <w:bCs/>
          <w:sz w:val="22"/>
          <w:szCs w:val="22"/>
        </w:rPr>
        <w:t xml:space="preserve">32% en la factura de </w:t>
      </w:r>
      <w:r w:rsidRPr="00834FBC">
        <w:rPr>
          <w:rFonts w:asciiTheme="majorHAnsi" w:eastAsia="Arial" w:hAnsiTheme="majorHAnsi" w:cstheme="majorHAnsi"/>
          <w:b/>
          <w:bCs/>
          <w:sz w:val="22"/>
          <w:szCs w:val="22"/>
        </w:rPr>
        <w:lastRenderedPageBreak/>
        <w:t>fertilizantes</w:t>
      </w:r>
      <w:r w:rsidRPr="00834FBC">
        <w:rPr>
          <w:rFonts w:asciiTheme="majorHAnsi" w:eastAsia="Arial" w:hAnsiTheme="majorHAnsi" w:cstheme="majorHAnsi"/>
          <w:sz w:val="22"/>
          <w:szCs w:val="22"/>
        </w:rPr>
        <w:t xml:space="preserve"> por hectárea, y que permitiría dejar de importar hasta </w:t>
      </w:r>
      <w:r w:rsidRPr="00834FBC">
        <w:rPr>
          <w:rFonts w:asciiTheme="majorHAnsi" w:eastAsia="Arial" w:hAnsiTheme="majorHAnsi" w:cstheme="majorHAnsi"/>
          <w:b/>
          <w:bCs/>
          <w:sz w:val="22"/>
          <w:szCs w:val="22"/>
        </w:rPr>
        <w:t>286.000 toneladas anuales de nitrógeno</w:t>
      </w:r>
      <w:r w:rsidRPr="00834FBC">
        <w:rPr>
          <w:rFonts w:asciiTheme="majorHAnsi" w:eastAsia="Arial" w:hAnsiTheme="majorHAnsi" w:cstheme="majorHAnsi"/>
          <w:sz w:val="22"/>
          <w:szCs w:val="22"/>
        </w:rPr>
        <w:t>.</w:t>
      </w:r>
    </w:p>
    <w:p w14:paraId="2CBAF345" w14:textId="2FBB50CA" w:rsidR="00380D5C" w:rsidRPr="00BB4581" w:rsidRDefault="00C3625B" w:rsidP="00834FBC">
      <w:pPr>
        <w:spacing w:before="100" w:after="100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BB4581">
        <w:rPr>
          <w:rFonts w:asciiTheme="majorHAnsi" w:hAnsiTheme="majorHAnsi" w:cstheme="majorHAnsi"/>
          <w:i/>
          <w:iCs/>
          <w:sz w:val="22"/>
          <w:szCs w:val="22"/>
        </w:rPr>
        <w:t>Durante su intervención, García</w:t>
      </w:r>
      <w:r w:rsidR="00380D5C" w:rsidRPr="00BB4581">
        <w:rPr>
          <w:rFonts w:asciiTheme="majorHAnsi" w:hAnsiTheme="majorHAnsi" w:cstheme="majorHAnsi"/>
          <w:i/>
          <w:iCs/>
          <w:sz w:val="22"/>
          <w:szCs w:val="22"/>
        </w:rPr>
        <w:t xml:space="preserve"> Izquierdo</w:t>
      </w:r>
      <w:r w:rsidRPr="00BB4581">
        <w:rPr>
          <w:rFonts w:asciiTheme="majorHAnsi" w:hAnsiTheme="majorHAnsi" w:cstheme="majorHAnsi"/>
          <w:i/>
          <w:iCs/>
          <w:sz w:val="22"/>
          <w:szCs w:val="22"/>
        </w:rPr>
        <w:t xml:space="preserve"> señaló que la investigación científica está demostrando que la salud del suelo </w:t>
      </w:r>
      <w:r w:rsidR="00205343" w:rsidRPr="00BB4581">
        <w:rPr>
          <w:rFonts w:asciiTheme="majorHAnsi" w:hAnsiTheme="majorHAnsi" w:cstheme="majorHAnsi"/>
          <w:i/>
          <w:iCs/>
          <w:sz w:val="22"/>
          <w:szCs w:val="22"/>
        </w:rPr>
        <w:t>es</w:t>
      </w:r>
      <w:r w:rsidRPr="00BB4581">
        <w:rPr>
          <w:rFonts w:asciiTheme="majorHAnsi" w:hAnsiTheme="majorHAnsi" w:cstheme="majorHAnsi"/>
          <w:i/>
          <w:iCs/>
          <w:sz w:val="22"/>
          <w:szCs w:val="22"/>
        </w:rPr>
        <w:t xml:space="preserve"> uno de los pilares estratégicos de la agricultura del futuro. </w:t>
      </w:r>
      <w:r w:rsidR="00205343" w:rsidRPr="00BB4581">
        <w:rPr>
          <w:rFonts w:asciiTheme="majorHAnsi" w:hAnsiTheme="majorHAnsi" w:cstheme="majorHAnsi"/>
          <w:i/>
          <w:iCs/>
          <w:sz w:val="22"/>
          <w:szCs w:val="22"/>
        </w:rPr>
        <w:t>Destacó además</w:t>
      </w:r>
      <w:r w:rsidRPr="00BB4581">
        <w:rPr>
          <w:rFonts w:asciiTheme="majorHAnsi" w:hAnsiTheme="majorHAnsi" w:cstheme="majorHAnsi"/>
          <w:i/>
          <w:iCs/>
          <w:sz w:val="22"/>
          <w:szCs w:val="22"/>
        </w:rPr>
        <w:t xml:space="preserve"> el enorme potencial de una nueva generación de fertilizantes funcionales basados en microorganismos beneficiosos, biomoléculas y metabolitos de origen biológico, capaces de estimular los procesos naturales del suelo y mejorar su fertilidad </w:t>
      </w:r>
      <w:r w:rsidR="00205343" w:rsidRPr="00BB4581">
        <w:rPr>
          <w:rFonts w:asciiTheme="majorHAnsi" w:hAnsiTheme="majorHAnsi" w:cstheme="majorHAnsi"/>
          <w:i/>
          <w:iCs/>
          <w:sz w:val="22"/>
          <w:szCs w:val="22"/>
        </w:rPr>
        <w:t xml:space="preserve">y funcionalidad </w:t>
      </w:r>
      <w:r w:rsidRPr="00BB4581">
        <w:rPr>
          <w:rFonts w:asciiTheme="majorHAnsi" w:hAnsiTheme="majorHAnsi" w:cstheme="majorHAnsi"/>
          <w:i/>
          <w:iCs/>
          <w:sz w:val="22"/>
          <w:szCs w:val="22"/>
        </w:rPr>
        <w:t>de forma sostenibl</w:t>
      </w:r>
      <w:r w:rsidR="00380D5C" w:rsidRPr="00BB4581">
        <w:rPr>
          <w:rFonts w:asciiTheme="majorHAnsi" w:hAnsiTheme="majorHAnsi" w:cstheme="majorHAnsi"/>
          <w:i/>
          <w:iCs/>
          <w:sz w:val="22"/>
          <w:szCs w:val="22"/>
        </w:rPr>
        <w:t>e”.</w:t>
      </w:r>
    </w:p>
    <w:p w14:paraId="5430AF6F" w14:textId="2ED5EDB9" w:rsidR="00C3625B" w:rsidRPr="00BB4581" w:rsidRDefault="00380D5C" w:rsidP="00834FBC">
      <w:pPr>
        <w:spacing w:before="100" w:after="100"/>
        <w:jc w:val="both"/>
        <w:rPr>
          <w:rFonts w:asciiTheme="majorHAnsi" w:eastAsia="Arial" w:hAnsiTheme="majorHAnsi" w:cstheme="majorHAnsi"/>
          <w:i/>
          <w:iCs/>
          <w:sz w:val="22"/>
          <w:szCs w:val="22"/>
        </w:rPr>
      </w:pPr>
      <w:r w:rsidRPr="00BB4581">
        <w:rPr>
          <w:rFonts w:asciiTheme="majorHAnsi" w:hAnsiTheme="majorHAnsi" w:cstheme="majorHAnsi"/>
          <w:i/>
          <w:iCs/>
          <w:sz w:val="22"/>
          <w:szCs w:val="22"/>
        </w:rPr>
        <w:t>E</w:t>
      </w:r>
      <w:r w:rsidR="00C3625B" w:rsidRPr="00BB4581">
        <w:rPr>
          <w:rFonts w:asciiTheme="majorHAnsi" w:hAnsiTheme="majorHAnsi" w:cstheme="majorHAnsi"/>
          <w:i/>
          <w:iCs/>
          <w:sz w:val="22"/>
          <w:szCs w:val="22"/>
        </w:rPr>
        <w:t>stos avances permiten actuar desde el propio suelo sobre la calidad de los alimentos, favoreciendo una mayor concentración de compuestos nutricionales y funcionales de interés para la salud humana. “Ya no se trata únicamente de producir más, sino de producir mejor: alimentos de mayor calidad nutricional, obtenidos mediante tecnologías que regeneran el suelo, mejoran la eficiencia en el uso de los nutrientes y reducen la dependencia de insumos externos</w:t>
      </w:r>
      <w:r w:rsidRPr="00BB4581">
        <w:rPr>
          <w:rFonts w:asciiTheme="majorHAnsi" w:hAnsiTheme="majorHAnsi" w:cstheme="majorHAnsi"/>
          <w:i/>
          <w:iCs/>
          <w:sz w:val="22"/>
          <w:szCs w:val="22"/>
        </w:rPr>
        <w:t xml:space="preserve">”, añadió García, quien finalizó su intervención indicando que </w:t>
      </w:r>
      <w:r w:rsidR="00205343" w:rsidRPr="00BB4581">
        <w:rPr>
          <w:rFonts w:asciiTheme="majorHAnsi" w:hAnsiTheme="majorHAnsi" w:cstheme="majorHAnsi"/>
          <w:i/>
          <w:iCs/>
          <w:sz w:val="22"/>
          <w:szCs w:val="22"/>
        </w:rPr>
        <w:t>“</w:t>
      </w:r>
      <w:r w:rsidRPr="00BB4581">
        <w:rPr>
          <w:rFonts w:asciiTheme="majorHAnsi" w:hAnsiTheme="majorHAnsi" w:cstheme="majorHAnsi"/>
          <w:i/>
          <w:iCs/>
          <w:sz w:val="22"/>
          <w:szCs w:val="22"/>
        </w:rPr>
        <w:t>l</w:t>
      </w:r>
      <w:r w:rsidR="00C3625B" w:rsidRPr="00BB4581">
        <w:rPr>
          <w:rFonts w:asciiTheme="majorHAnsi" w:hAnsiTheme="majorHAnsi" w:cstheme="majorHAnsi"/>
          <w:i/>
          <w:iCs/>
          <w:sz w:val="22"/>
          <w:szCs w:val="22"/>
        </w:rPr>
        <w:t xml:space="preserve">a ciencia nos está mostrando que es posible conectar la salud del suelo, la sostenibilidad de los sistemas agrarios y la calidad de los alimentos en una misma estrategia </w:t>
      </w:r>
      <w:r w:rsidR="00205343" w:rsidRPr="00BB4581">
        <w:rPr>
          <w:rFonts w:asciiTheme="majorHAnsi" w:hAnsiTheme="majorHAnsi" w:cstheme="majorHAnsi"/>
          <w:i/>
          <w:iCs/>
          <w:sz w:val="22"/>
          <w:szCs w:val="22"/>
        </w:rPr>
        <w:t xml:space="preserve">integral </w:t>
      </w:r>
      <w:r w:rsidR="00C3625B" w:rsidRPr="00BB4581">
        <w:rPr>
          <w:rFonts w:asciiTheme="majorHAnsi" w:hAnsiTheme="majorHAnsi" w:cstheme="majorHAnsi"/>
          <w:i/>
          <w:iCs/>
          <w:sz w:val="22"/>
          <w:szCs w:val="22"/>
        </w:rPr>
        <w:t>de innovación</w:t>
      </w:r>
      <w:r w:rsidR="00205343" w:rsidRPr="00BB4581">
        <w:rPr>
          <w:rFonts w:asciiTheme="majorHAnsi" w:hAnsiTheme="majorHAnsi" w:cstheme="majorHAnsi"/>
          <w:i/>
          <w:iCs/>
          <w:sz w:val="22"/>
          <w:szCs w:val="22"/>
        </w:rPr>
        <w:t>”</w:t>
      </w:r>
      <w:r w:rsidRPr="00BB4581">
        <w:rPr>
          <w:rFonts w:asciiTheme="majorHAnsi" w:hAnsiTheme="majorHAnsi" w:cstheme="majorHAnsi"/>
          <w:i/>
          <w:iCs/>
          <w:sz w:val="22"/>
          <w:szCs w:val="22"/>
        </w:rPr>
        <w:t>.</w:t>
      </w:r>
    </w:p>
    <w:p w14:paraId="30CC0804" w14:textId="53DA7F77" w:rsidR="00834FBC" w:rsidRDefault="00834FBC" w:rsidP="00834FBC">
      <w:pPr>
        <w:spacing w:before="100" w:after="10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380D5C">
        <w:rPr>
          <w:rFonts w:asciiTheme="majorHAnsi" w:eastAsia="Arial" w:hAnsiTheme="majorHAnsi" w:cstheme="majorHAnsi"/>
          <w:sz w:val="22"/>
          <w:szCs w:val="22"/>
        </w:rPr>
        <w:t xml:space="preserve">A continuación, tuvo lugar una mesa redonda </w:t>
      </w:r>
      <w:r w:rsidRPr="00834FBC">
        <w:rPr>
          <w:rFonts w:asciiTheme="majorHAnsi" w:eastAsia="Arial" w:hAnsiTheme="majorHAnsi" w:cstheme="majorHAnsi"/>
          <w:sz w:val="22"/>
          <w:szCs w:val="22"/>
        </w:rPr>
        <w:t xml:space="preserve">reunió a cinco voces que raramente coinciden en un mismo foro: </w:t>
      </w:r>
      <w:r w:rsidR="004761FB">
        <w:rPr>
          <w:rFonts w:asciiTheme="majorHAnsi" w:eastAsia="Arial" w:hAnsiTheme="majorHAnsi" w:cstheme="majorHAnsi"/>
          <w:b/>
          <w:bCs/>
          <w:sz w:val="22"/>
          <w:szCs w:val="22"/>
        </w:rPr>
        <w:t>Agustín Miranda</w:t>
      </w:r>
      <w:r w:rsidRPr="00834FBC">
        <w:rPr>
          <w:rFonts w:asciiTheme="majorHAnsi" w:eastAsia="Arial" w:hAnsiTheme="majorHAnsi" w:cstheme="majorHAnsi"/>
          <w:sz w:val="22"/>
          <w:szCs w:val="22"/>
        </w:rPr>
        <w:t xml:space="preserve"> (ASAJA), </w:t>
      </w:r>
      <w:r w:rsidR="00260932">
        <w:rPr>
          <w:rFonts w:asciiTheme="majorHAnsi" w:eastAsia="Arial" w:hAnsiTheme="majorHAnsi" w:cstheme="majorHAnsi"/>
          <w:b/>
          <w:bCs/>
          <w:sz w:val="22"/>
          <w:szCs w:val="22"/>
        </w:rPr>
        <w:t>Pablo Fernández</w:t>
      </w:r>
      <w:r w:rsidRPr="00834FBC">
        <w:rPr>
          <w:rFonts w:asciiTheme="majorHAnsi" w:eastAsia="Arial" w:hAnsiTheme="majorHAnsi" w:cstheme="majorHAnsi"/>
          <w:sz w:val="22"/>
          <w:szCs w:val="22"/>
        </w:rPr>
        <w:t xml:space="preserve"> (Cooperativas Agro-alimentarias de España), </w:t>
      </w:r>
      <w:r w:rsidR="0033263A">
        <w:rPr>
          <w:rFonts w:asciiTheme="majorHAnsi" w:eastAsia="Arial" w:hAnsiTheme="majorHAnsi" w:cstheme="majorHAnsi"/>
          <w:b/>
          <w:bCs/>
          <w:sz w:val="22"/>
          <w:szCs w:val="22"/>
        </w:rPr>
        <w:t xml:space="preserve">Vicente Muñoz </w:t>
      </w:r>
      <w:r w:rsidRPr="00834FBC">
        <w:rPr>
          <w:rFonts w:asciiTheme="majorHAnsi" w:eastAsia="Arial" w:hAnsiTheme="majorHAnsi" w:cstheme="majorHAnsi"/>
          <w:sz w:val="22"/>
          <w:szCs w:val="22"/>
        </w:rPr>
        <w:t xml:space="preserve">(Fertinagro Biotech), </w:t>
      </w:r>
      <w:r w:rsidRPr="00834FBC">
        <w:rPr>
          <w:rFonts w:asciiTheme="majorHAnsi" w:eastAsia="Arial" w:hAnsiTheme="majorHAnsi" w:cstheme="majorHAnsi"/>
          <w:b/>
          <w:bCs/>
          <w:sz w:val="22"/>
          <w:szCs w:val="22"/>
        </w:rPr>
        <w:t>Víctor Yuste</w:t>
      </w:r>
      <w:r w:rsidRPr="00834FBC">
        <w:rPr>
          <w:rFonts w:asciiTheme="majorHAnsi" w:eastAsia="Arial" w:hAnsiTheme="majorHAnsi" w:cstheme="majorHAnsi"/>
          <w:sz w:val="22"/>
          <w:szCs w:val="22"/>
        </w:rPr>
        <w:t xml:space="preserve"> (Foro Interalimentario) y </w:t>
      </w:r>
      <w:r w:rsidRPr="00834FBC">
        <w:rPr>
          <w:rFonts w:asciiTheme="majorHAnsi" w:eastAsia="Arial" w:hAnsiTheme="majorHAnsi" w:cstheme="majorHAnsi"/>
          <w:b/>
          <w:bCs/>
          <w:sz w:val="22"/>
          <w:szCs w:val="22"/>
        </w:rPr>
        <w:t>Manuel Martín</w:t>
      </w:r>
      <w:r w:rsidRPr="00834FBC">
        <w:rPr>
          <w:rFonts w:asciiTheme="majorHAnsi" w:eastAsia="Arial" w:hAnsiTheme="majorHAnsi" w:cstheme="majorHAnsi"/>
          <w:sz w:val="22"/>
          <w:szCs w:val="22"/>
        </w:rPr>
        <w:t xml:space="preserve"> (UNAE). </w:t>
      </w:r>
    </w:p>
    <w:p w14:paraId="3C3938FC" w14:textId="7900C17B" w:rsidR="00834FBC" w:rsidRDefault="00834FBC" w:rsidP="00834FBC">
      <w:pPr>
        <w:spacing w:before="100" w:after="10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834FBC">
        <w:rPr>
          <w:rFonts w:asciiTheme="majorHAnsi" w:eastAsia="Arial" w:hAnsiTheme="majorHAnsi" w:cstheme="majorHAnsi"/>
          <w:sz w:val="22"/>
          <w:szCs w:val="22"/>
        </w:rPr>
        <w:t>El diagnóstico fue compartido: cuando los fertilizantes se encarecen, los agricultores recortan la aplicación, bajan las cosechas, sube el precio de los alimentos y el consumidor paga la factura de una dependencia exterior que dura décadas.</w:t>
      </w:r>
    </w:p>
    <w:p w14:paraId="176D233D" w14:textId="36E639E9" w:rsidR="00BB4581" w:rsidRPr="00BB4581" w:rsidRDefault="00EC2099" w:rsidP="00834FBC">
      <w:pPr>
        <w:spacing w:before="100" w:after="100"/>
        <w:jc w:val="both"/>
        <w:rPr>
          <w:rFonts w:asciiTheme="majorHAnsi" w:eastAsia="Arial" w:hAnsiTheme="majorHAnsi" w:cstheme="majorHAnsi"/>
          <w:i/>
          <w:iCs/>
          <w:sz w:val="22"/>
          <w:szCs w:val="22"/>
        </w:rPr>
      </w:pPr>
      <w:r w:rsidRPr="00BB4581">
        <w:rPr>
          <w:rFonts w:asciiTheme="majorHAnsi" w:eastAsia="Arial" w:hAnsiTheme="majorHAnsi" w:cstheme="majorHAnsi"/>
          <w:i/>
          <w:iCs/>
          <w:sz w:val="22"/>
          <w:szCs w:val="22"/>
        </w:rPr>
        <w:t>Para los consumidores,</w:t>
      </w:r>
      <w:r w:rsidR="00BB4581" w:rsidRPr="00BB4581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los </w:t>
      </w:r>
      <w:r w:rsidR="00BB4581" w:rsidRPr="00BB4581">
        <w:rPr>
          <w:rFonts w:asciiTheme="majorHAnsi" w:hAnsiTheme="majorHAnsi" w:cstheme="majorHAnsi"/>
          <w:i/>
          <w:iCs/>
          <w:sz w:val="22"/>
          <w:szCs w:val="22"/>
          <w:lang w:val="es-ES"/>
        </w:rPr>
        <w:t>productores, la industria y la distribución deben compartir información, impulsar proyectos conjuntos de innovación y mejorar la planificación para optimizar costes y desperdicios. Las Administraciones Públicas deben ser el principal facilitador para la producción y distribución de alimentos accesibles y seguros, así como apoyar la digitalización y garantizar la transparencia.</w:t>
      </w:r>
    </w:p>
    <w:p w14:paraId="33488EB7" w14:textId="0818052B" w:rsidR="00834FBC" w:rsidRPr="00834FBC" w:rsidRDefault="00834FBC" w:rsidP="00834FBC">
      <w:pPr>
        <w:spacing w:before="100" w:after="100"/>
        <w:jc w:val="both"/>
        <w:rPr>
          <w:rFonts w:asciiTheme="majorHAnsi" w:hAnsiTheme="majorHAnsi" w:cstheme="majorHAnsi"/>
          <w:sz w:val="22"/>
          <w:szCs w:val="22"/>
        </w:rPr>
      </w:pPr>
      <w:r w:rsidRPr="00834FBC">
        <w:rPr>
          <w:rFonts w:asciiTheme="majorHAnsi" w:eastAsia="Arial" w:hAnsiTheme="majorHAnsi" w:cstheme="majorHAnsi"/>
          <w:sz w:val="22"/>
          <w:szCs w:val="22"/>
        </w:rPr>
        <w:t>Los participantes coincidieron en que la solución no vendrá sólo de las ayudas de emergencia —necesarias, pero insuficientes—, sino de una transformación estructural en tres frentes: producción nacional de fertilizantes tecnológicos, economía circular en la fabricación de abonos y digitalización de la gestión de nutrientes para ajustar las dosis a las necesidades reales de cada parcela. El nuevo marco europeo, subrayaron, ofrece por primera vez el respaldo normativo y financiero para hacerlo.</w:t>
      </w:r>
    </w:p>
    <w:p w14:paraId="04F1D6D3" w14:textId="4A614734" w:rsidR="00834FBC" w:rsidRDefault="00834FBC" w:rsidP="00834FBC">
      <w:pPr>
        <w:spacing w:before="100" w:after="100"/>
        <w:jc w:val="both"/>
        <w:rPr>
          <w:rFonts w:asciiTheme="majorHAnsi" w:eastAsia="Arial" w:hAnsiTheme="majorHAnsi" w:cstheme="majorHAnsi"/>
          <w:i/>
          <w:iCs/>
          <w:sz w:val="22"/>
          <w:szCs w:val="22"/>
        </w:rPr>
      </w:pPr>
      <w:r w:rsidRPr="00834FBC">
        <w:rPr>
          <w:rFonts w:asciiTheme="majorHAnsi" w:eastAsia="Arial" w:hAnsiTheme="majorHAnsi" w:cstheme="majorHAnsi"/>
          <w:i/>
          <w:iCs/>
          <w:sz w:val="22"/>
          <w:szCs w:val="22"/>
        </w:rPr>
        <w:t>La jornada dejó una conclusión clara: el campo español tiene en la biotecnología y en la producción nacional de fertilizantes la mejor protección frente a las crisis de precios globales. Hacer que esa transición llegue a cada agricultor, de cualquier tamaño y cultivo, es ahora el gran reto compartido del sector, la ciencia y las instituciones.</w:t>
      </w:r>
    </w:p>
    <w:p w14:paraId="27B796D2" w14:textId="77777777" w:rsidR="00834FBC" w:rsidRDefault="00834FBC" w:rsidP="00834FBC">
      <w:pPr>
        <w:spacing w:before="100" w:after="10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834FBC">
        <w:rPr>
          <w:rFonts w:asciiTheme="majorHAnsi" w:eastAsia="Arial" w:hAnsiTheme="majorHAnsi" w:cstheme="majorHAnsi"/>
          <w:sz w:val="22"/>
          <w:szCs w:val="22"/>
        </w:rPr>
        <w:t xml:space="preserve">Con esta iniciativa, el </w:t>
      </w:r>
      <w:r w:rsidRPr="00834FBC">
        <w:rPr>
          <w:rFonts w:asciiTheme="majorHAnsi" w:eastAsia="Arial" w:hAnsiTheme="majorHAnsi" w:cstheme="majorHAnsi"/>
          <w:b/>
          <w:bCs/>
          <w:sz w:val="22"/>
          <w:szCs w:val="22"/>
        </w:rPr>
        <w:t>Grupo Alimentario de Innovación y Sostenibilidad</w:t>
      </w:r>
      <w:r w:rsidRPr="00834FBC">
        <w:rPr>
          <w:rFonts w:asciiTheme="majorHAnsi" w:eastAsia="Arial" w:hAnsiTheme="majorHAnsi" w:cstheme="majorHAnsi"/>
          <w:sz w:val="22"/>
          <w:szCs w:val="22"/>
        </w:rPr>
        <w:t xml:space="preserve"> refuerza su papel como espacio de diálogo estratégico entre todos los eslabones de la cadena agroalimentaria, con el objetivo de impulsar una comunicación positiva y basada en evidencia que contribuya a construir un sistema alimentario más competitivo, resiliente y sostenible.</w:t>
      </w:r>
    </w:p>
    <w:p w14:paraId="1D8ED2E4" w14:textId="70DA78AC" w:rsidR="00B71F88" w:rsidRPr="00834FBC" w:rsidRDefault="00B71F88" w:rsidP="00834FBC">
      <w:pPr>
        <w:spacing w:before="100" w:after="100"/>
        <w:jc w:val="both"/>
        <w:rPr>
          <w:rFonts w:asciiTheme="majorHAnsi" w:hAnsiTheme="majorHAnsi" w:cstheme="majorHAnsi"/>
          <w:sz w:val="22"/>
          <w:szCs w:val="22"/>
        </w:rPr>
      </w:pPr>
      <w:r w:rsidRPr="00B71F88">
        <w:rPr>
          <w:rFonts w:asciiTheme="majorHAnsi" w:eastAsia="Arial" w:hAnsiTheme="majorHAnsi" w:cstheme="majorHAnsi"/>
          <w:b/>
          <w:bCs/>
          <w:sz w:val="22"/>
          <w:szCs w:val="22"/>
        </w:rPr>
        <w:t>Enlace a descarga de imágenes</w:t>
      </w:r>
      <w:r>
        <w:rPr>
          <w:rFonts w:asciiTheme="majorHAnsi" w:eastAsia="Arial" w:hAnsiTheme="majorHAnsi" w:cstheme="majorHAnsi"/>
          <w:sz w:val="22"/>
          <w:szCs w:val="22"/>
        </w:rPr>
        <w:t xml:space="preserve">: </w:t>
      </w:r>
      <w:hyperlink r:id="rId7" w:history="1">
        <w:r w:rsidRPr="00176EFA">
          <w:rPr>
            <w:rStyle w:val="Hipervnculo"/>
            <w:rFonts w:asciiTheme="majorHAnsi" w:eastAsia="Arial" w:hAnsiTheme="majorHAnsi" w:cstheme="majorHAnsi"/>
            <w:sz w:val="22"/>
            <w:szCs w:val="22"/>
          </w:rPr>
          <w:t>https://we.tl/t-O7niKcPVQpq3Doig</w:t>
        </w:r>
      </w:hyperlink>
      <w:r>
        <w:rPr>
          <w:rFonts w:asciiTheme="majorHAnsi" w:eastAsia="Arial" w:hAnsiTheme="majorHAnsi" w:cstheme="majorHAnsi"/>
          <w:sz w:val="22"/>
          <w:szCs w:val="22"/>
        </w:rPr>
        <w:t xml:space="preserve"> </w:t>
      </w:r>
    </w:p>
    <w:p w14:paraId="2298028F" w14:textId="77777777" w:rsidR="00834FBC" w:rsidRDefault="00834FBC" w:rsidP="00834FBC">
      <w:pPr>
        <w:spacing w:before="100" w:after="100"/>
        <w:jc w:val="both"/>
      </w:pPr>
    </w:p>
    <w:p w14:paraId="0DCF791B" w14:textId="792B97C3" w:rsidR="003C7228" w:rsidRDefault="002B2F7C" w:rsidP="0029131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1"/>
          <w:szCs w:val="21"/>
        </w:rPr>
        <w:t>Más información:</w:t>
      </w:r>
      <w:r w:rsidR="00291312">
        <w:rPr>
          <w:rFonts w:ascii="Aptos" w:eastAsia="Aptos" w:hAnsi="Aptos" w:cs="Aptos"/>
          <w:b/>
          <w:color w:val="000000"/>
          <w:sz w:val="21"/>
          <w:szCs w:val="21"/>
        </w:rPr>
        <w:t xml:space="preserve"> </w:t>
      </w:r>
      <w:r>
        <w:rPr>
          <w:rFonts w:ascii="Aptos" w:eastAsia="Aptos" w:hAnsi="Aptos" w:cs="Aptos"/>
          <w:color w:val="000000"/>
          <w:sz w:val="21"/>
          <w:szCs w:val="21"/>
        </w:rPr>
        <w:t xml:space="preserve">Mari Carmen Martínez Mulleras. </w:t>
      </w:r>
      <w:hyperlink r:id="rId8">
        <w:r>
          <w:rPr>
            <w:rFonts w:ascii="Aptos" w:eastAsia="Aptos" w:hAnsi="Aptos" w:cs="Aptos"/>
            <w:color w:val="467886"/>
            <w:sz w:val="21"/>
            <w:szCs w:val="21"/>
            <w:u w:val="single"/>
          </w:rPr>
          <w:t>info@gisalimentario.es</w:t>
        </w:r>
      </w:hyperlink>
      <w:r>
        <w:rPr>
          <w:rFonts w:ascii="Aptos" w:eastAsia="Aptos" w:hAnsi="Aptos" w:cs="Aptos"/>
          <w:color w:val="000000"/>
          <w:sz w:val="21"/>
          <w:szCs w:val="21"/>
        </w:rPr>
        <w:t xml:space="preserve"> 91 721 7929</w:t>
      </w:r>
    </w:p>
    <w:sectPr w:rsidR="003C7228">
      <w:headerReference w:type="default" r:id="rId9"/>
      <w:footerReference w:type="default" r:id="rId10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62EF" w14:textId="77777777" w:rsidR="00226BCD" w:rsidRDefault="00226BCD">
      <w:r>
        <w:separator/>
      </w:r>
    </w:p>
  </w:endnote>
  <w:endnote w:type="continuationSeparator" w:id="0">
    <w:p w14:paraId="3650D304" w14:textId="77777777" w:rsidR="00226BCD" w:rsidRDefault="002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mo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9AAB" w14:textId="77777777" w:rsidR="003C7228" w:rsidRDefault="003C722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3AAA1" w14:textId="77777777" w:rsidR="00226BCD" w:rsidRDefault="00226BCD">
      <w:r>
        <w:separator/>
      </w:r>
    </w:p>
  </w:footnote>
  <w:footnote w:type="continuationSeparator" w:id="0">
    <w:p w14:paraId="3F06A3A2" w14:textId="77777777" w:rsidR="00226BCD" w:rsidRDefault="002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1180" w14:textId="77777777" w:rsidR="003C7228" w:rsidRDefault="002B2F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478"/>
      </w:tabs>
      <w:jc w:val="center"/>
      <w:rPr>
        <w:rFonts w:ascii="Aptos" w:eastAsia="Aptos" w:hAnsi="Aptos" w:cs="Aptos"/>
        <w:color w:val="000000"/>
        <w:sz w:val="22"/>
        <w:szCs w:val="22"/>
      </w:rPr>
    </w:pPr>
    <w:r>
      <w:rPr>
        <w:rFonts w:ascii="Aptos" w:eastAsia="Aptos" w:hAnsi="Aptos" w:cs="Aptos"/>
        <w:noProof/>
        <w:color w:val="000000"/>
        <w:sz w:val="22"/>
        <w:szCs w:val="22"/>
      </w:rPr>
      <w:drawing>
        <wp:inline distT="0" distB="0" distL="0" distR="0" wp14:anchorId="51972803" wp14:editId="3320C063">
          <wp:extent cx="1969568" cy="762000"/>
          <wp:effectExtent l="0" t="0" r="0" b="0"/>
          <wp:docPr id="1" name="image1.png" descr="Interfaz de usuario gráfica, Aplicación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z de usuario gráfica, Aplicación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6467" cy="7646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42B79"/>
    <w:multiLevelType w:val="multilevel"/>
    <w:tmpl w:val="1BF4C97E"/>
    <w:lvl w:ilvl="0">
      <w:start w:val="1"/>
      <w:numFmt w:val="bullet"/>
      <w:lvlText w:val="●"/>
      <w:lvlJc w:val="left"/>
      <w:pPr>
        <w:ind w:left="33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5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770" w:hanging="330"/>
      </w:pPr>
      <w:rPr>
        <w:rFonts w:ascii="Arimo" w:eastAsia="Arimo" w:hAnsi="Arimo" w:cs="Arimo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49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30" w:hanging="330"/>
      </w:pPr>
      <w:rPr>
        <w:rFonts w:ascii="Arimo" w:eastAsia="Arimo" w:hAnsi="Arimo" w:cs="Arimo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65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37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090" w:hanging="330"/>
      </w:pPr>
      <w:rPr>
        <w:rFonts w:ascii="Arimo" w:eastAsia="Arimo" w:hAnsi="Arimo" w:cs="Arimo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</w:abstractNum>
  <w:abstractNum w:abstractNumId="1" w15:restartNumberingAfterBreak="0">
    <w:nsid w:val="52321AB1"/>
    <w:multiLevelType w:val="multilevel"/>
    <w:tmpl w:val="739471AC"/>
    <w:lvl w:ilvl="0">
      <w:start w:val="1"/>
      <w:numFmt w:val="bullet"/>
      <w:lvlText w:val="●"/>
      <w:lvlJc w:val="left"/>
      <w:pPr>
        <w:ind w:left="3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 w16cid:durableId="1129395140">
    <w:abstractNumId w:val="0"/>
  </w:num>
  <w:num w:numId="2" w16cid:durableId="1132594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28"/>
    <w:rsid w:val="00016F68"/>
    <w:rsid w:val="00033D2D"/>
    <w:rsid w:val="00041ED2"/>
    <w:rsid w:val="00077E04"/>
    <w:rsid w:val="000A0B05"/>
    <w:rsid w:val="000C1287"/>
    <w:rsid w:val="000E4F06"/>
    <w:rsid w:val="0010405D"/>
    <w:rsid w:val="00137631"/>
    <w:rsid w:val="00143122"/>
    <w:rsid w:val="00171478"/>
    <w:rsid w:val="001738DC"/>
    <w:rsid w:val="00174C1B"/>
    <w:rsid w:val="00177C26"/>
    <w:rsid w:val="0018500C"/>
    <w:rsid w:val="0018584B"/>
    <w:rsid w:val="001C65A1"/>
    <w:rsid w:val="001D3D32"/>
    <w:rsid w:val="001E3145"/>
    <w:rsid w:val="001E559A"/>
    <w:rsid w:val="00204BB0"/>
    <w:rsid w:val="00205343"/>
    <w:rsid w:val="002077E2"/>
    <w:rsid w:val="002155EF"/>
    <w:rsid w:val="0022138B"/>
    <w:rsid w:val="00225FAB"/>
    <w:rsid w:val="00226BCD"/>
    <w:rsid w:val="00243BF3"/>
    <w:rsid w:val="00250424"/>
    <w:rsid w:val="00260932"/>
    <w:rsid w:val="002757C0"/>
    <w:rsid w:val="00291312"/>
    <w:rsid w:val="00291A43"/>
    <w:rsid w:val="002B2F7C"/>
    <w:rsid w:val="002D7668"/>
    <w:rsid w:val="002E1B57"/>
    <w:rsid w:val="002E7578"/>
    <w:rsid w:val="002F435E"/>
    <w:rsid w:val="003003AC"/>
    <w:rsid w:val="003136E4"/>
    <w:rsid w:val="0033263A"/>
    <w:rsid w:val="003547EE"/>
    <w:rsid w:val="00354AB2"/>
    <w:rsid w:val="00380D5C"/>
    <w:rsid w:val="003906C5"/>
    <w:rsid w:val="003A3B81"/>
    <w:rsid w:val="003C257F"/>
    <w:rsid w:val="003C38A9"/>
    <w:rsid w:val="003C7228"/>
    <w:rsid w:val="003D1B3F"/>
    <w:rsid w:val="003D6489"/>
    <w:rsid w:val="003E5088"/>
    <w:rsid w:val="003F6224"/>
    <w:rsid w:val="0040537B"/>
    <w:rsid w:val="00414F50"/>
    <w:rsid w:val="004260AE"/>
    <w:rsid w:val="00433029"/>
    <w:rsid w:val="00443E0B"/>
    <w:rsid w:val="0046161A"/>
    <w:rsid w:val="004724A7"/>
    <w:rsid w:val="00475630"/>
    <w:rsid w:val="004761FB"/>
    <w:rsid w:val="00476B46"/>
    <w:rsid w:val="004825B7"/>
    <w:rsid w:val="00484CA0"/>
    <w:rsid w:val="004850E3"/>
    <w:rsid w:val="00497239"/>
    <w:rsid w:val="004A56A4"/>
    <w:rsid w:val="004B0538"/>
    <w:rsid w:val="004C47BC"/>
    <w:rsid w:val="004D0207"/>
    <w:rsid w:val="00512AB4"/>
    <w:rsid w:val="0052606A"/>
    <w:rsid w:val="00536BC2"/>
    <w:rsid w:val="00546546"/>
    <w:rsid w:val="0054711F"/>
    <w:rsid w:val="00573163"/>
    <w:rsid w:val="0058015F"/>
    <w:rsid w:val="00580299"/>
    <w:rsid w:val="00580500"/>
    <w:rsid w:val="005810DC"/>
    <w:rsid w:val="005859E2"/>
    <w:rsid w:val="00586756"/>
    <w:rsid w:val="00595FC1"/>
    <w:rsid w:val="005B79EC"/>
    <w:rsid w:val="005C282C"/>
    <w:rsid w:val="005D1BB6"/>
    <w:rsid w:val="005E66B1"/>
    <w:rsid w:val="0061560A"/>
    <w:rsid w:val="006339E2"/>
    <w:rsid w:val="00653D41"/>
    <w:rsid w:val="00664D5D"/>
    <w:rsid w:val="006826BA"/>
    <w:rsid w:val="006A3D76"/>
    <w:rsid w:val="006B26C8"/>
    <w:rsid w:val="006C4B85"/>
    <w:rsid w:val="006D4D1E"/>
    <w:rsid w:val="006E64CF"/>
    <w:rsid w:val="006F101B"/>
    <w:rsid w:val="00704385"/>
    <w:rsid w:val="00713603"/>
    <w:rsid w:val="0071418B"/>
    <w:rsid w:val="007438D4"/>
    <w:rsid w:val="00747C69"/>
    <w:rsid w:val="007610C8"/>
    <w:rsid w:val="00765B12"/>
    <w:rsid w:val="0079023A"/>
    <w:rsid w:val="00791A1B"/>
    <w:rsid w:val="00792E74"/>
    <w:rsid w:val="007950D4"/>
    <w:rsid w:val="007F3EC6"/>
    <w:rsid w:val="00812A7A"/>
    <w:rsid w:val="0082143B"/>
    <w:rsid w:val="00834FBC"/>
    <w:rsid w:val="00851CCA"/>
    <w:rsid w:val="00861F53"/>
    <w:rsid w:val="00865D57"/>
    <w:rsid w:val="00890E35"/>
    <w:rsid w:val="00895CF7"/>
    <w:rsid w:val="008976E5"/>
    <w:rsid w:val="008A442C"/>
    <w:rsid w:val="008B1F62"/>
    <w:rsid w:val="008B2CF4"/>
    <w:rsid w:val="008F0735"/>
    <w:rsid w:val="00906907"/>
    <w:rsid w:val="00910D51"/>
    <w:rsid w:val="00912751"/>
    <w:rsid w:val="0092612F"/>
    <w:rsid w:val="00932016"/>
    <w:rsid w:val="00941125"/>
    <w:rsid w:val="009B7EFA"/>
    <w:rsid w:val="009D5E05"/>
    <w:rsid w:val="009E23B5"/>
    <w:rsid w:val="00A16330"/>
    <w:rsid w:val="00A37921"/>
    <w:rsid w:val="00A711F8"/>
    <w:rsid w:val="00A73552"/>
    <w:rsid w:val="00A7662A"/>
    <w:rsid w:val="00A81053"/>
    <w:rsid w:val="00AD44DA"/>
    <w:rsid w:val="00AF03FD"/>
    <w:rsid w:val="00AF1FED"/>
    <w:rsid w:val="00B00CF0"/>
    <w:rsid w:val="00B31BC3"/>
    <w:rsid w:val="00B320A3"/>
    <w:rsid w:val="00B71F88"/>
    <w:rsid w:val="00BB4581"/>
    <w:rsid w:val="00BB7DB4"/>
    <w:rsid w:val="00BD1ABC"/>
    <w:rsid w:val="00BD6CDF"/>
    <w:rsid w:val="00BE6D6B"/>
    <w:rsid w:val="00C06299"/>
    <w:rsid w:val="00C22248"/>
    <w:rsid w:val="00C30DA4"/>
    <w:rsid w:val="00C3625B"/>
    <w:rsid w:val="00C409BE"/>
    <w:rsid w:val="00C53B87"/>
    <w:rsid w:val="00C54395"/>
    <w:rsid w:val="00C84C01"/>
    <w:rsid w:val="00CA3415"/>
    <w:rsid w:val="00CB4A61"/>
    <w:rsid w:val="00CB781D"/>
    <w:rsid w:val="00CC5EA8"/>
    <w:rsid w:val="00CF01E6"/>
    <w:rsid w:val="00D03FBA"/>
    <w:rsid w:val="00D13C36"/>
    <w:rsid w:val="00D3003D"/>
    <w:rsid w:val="00D61A80"/>
    <w:rsid w:val="00D6661A"/>
    <w:rsid w:val="00D721E1"/>
    <w:rsid w:val="00D7729F"/>
    <w:rsid w:val="00D81877"/>
    <w:rsid w:val="00DC16F0"/>
    <w:rsid w:val="00DC4F2E"/>
    <w:rsid w:val="00DD4622"/>
    <w:rsid w:val="00DE1607"/>
    <w:rsid w:val="00DF4BFE"/>
    <w:rsid w:val="00E05C95"/>
    <w:rsid w:val="00E3365F"/>
    <w:rsid w:val="00E3611C"/>
    <w:rsid w:val="00E67AF8"/>
    <w:rsid w:val="00E815E2"/>
    <w:rsid w:val="00E9148E"/>
    <w:rsid w:val="00EC2099"/>
    <w:rsid w:val="00EC5F5B"/>
    <w:rsid w:val="00ED20AC"/>
    <w:rsid w:val="00ED56AD"/>
    <w:rsid w:val="00EF3F60"/>
    <w:rsid w:val="00F137EF"/>
    <w:rsid w:val="00F16134"/>
    <w:rsid w:val="00F2359E"/>
    <w:rsid w:val="00F24E6B"/>
    <w:rsid w:val="00F65868"/>
    <w:rsid w:val="00F72F4D"/>
    <w:rsid w:val="00FA0ACC"/>
    <w:rsid w:val="00FA5148"/>
    <w:rsid w:val="00FA7E6B"/>
    <w:rsid w:val="00FB2691"/>
    <w:rsid w:val="00FB7CC0"/>
    <w:rsid w:val="00F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A99E"/>
  <w15:docId w15:val="{BBD8F174-B53A-924C-83EA-ED026E54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60" w:after="80" w:line="276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9148E"/>
  </w:style>
  <w:style w:type="paragraph" w:styleId="Encabezado">
    <w:name w:val="header"/>
    <w:basedOn w:val="Normal"/>
    <w:link w:val="EncabezadoCar"/>
    <w:uiPriority w:val="99"/>
    <w:unhideWhenUsed/>
    <w:rsid w:val="005B79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79EC"/>
  </w:style>
  <w:style w:type="paragraph" w:styleId="Piedepgina">
    <w:name w:val="footer"/>
    <w:basedOn w:val="Normal"/>
    <w:link w:val="PiedepginaCar"/>
    <w:uiPriority w:val="99"/>
    <w:unhideWhenUsed/>
    <w:rsid w:val="005B79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9EC"/>
  </w:style>
  <w:style w:type="paragraph" w:styleId="Prrafodelista">
    <w:name w:val="List Paragraph"/>
    <w:basedOn w:val="Normal"/>
    <w:uiPriority w:val="34"/>
    <w:qFormat/>
    <w:rsid w:val="00D03FBA"/>
    <w:pPr>
      <w:ind w:left="720"/>
      <w:contextualSpacing/>
    </w:pPr>
  </w:style>
  <w:style w:type="paragraph" w:customStyle="1" w:styleId="font-claude-response-body">
    <w:name w:val="font-claude-response-body"/>
    <w:basedOn w:val="Normal"/>
    <w:rsid w:val="00C30DA4"/>
    <w:pPr>
      <w:spacing w:before="100" w:beforeAutospacing="1" w:after="100" w:afterAutospacing="1"/>
    </w:pPr>
    <w:rPr>
      <w:lang w:val="es-ES" w:eastAsia="es-ES"/>
    </w:rPr>
  </w:style>
  <w:style w:type="character" w:styleId="nfasis">
    <w:name w:val="Emphasis"/>
    <w:basedOn w:val="Fuentedeprrafopredeter"/>
    <w:uiPriority w:val="20"/>
    <w:qFormat/>
    <w:rsid w:val="00C30DA4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B71F8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1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5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9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4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27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30503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059082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217153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602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148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6149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75401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099340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3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9085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65059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5736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0117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383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3067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2785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94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48955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844929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982196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189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4633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655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15290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737492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9733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3933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8527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6743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393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5109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5764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479611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125562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558836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1781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292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1516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48632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888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0927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8234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4833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7726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740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33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405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8040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4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3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3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9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isalimentario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.tl/t-O7niKcPVQpq3Doi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1085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del Carmen Martínez</dc:creator>
  <cp:lastModifiedBy>María del Carmen Martínez</cp:lastModifiedBy>
  <cp:revision>3</cp:revision>
  <dcterms:created xsi:type="dcterms:W3CDTF">2026-06-26T09:45:00Z</dcterms:created>
  <dcterms:modified xsi:type="dcterms:W3CDTF">2026-06-26T09:56:00Z</dcterms:modified>
</cp:coreProperties>
</file>