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CC89" w14:textId="7C798DF1" w:rsidR="00ED1B60" w:rsidRPr="00ED1B60" w:rsidRDefault="00ED1B60" w:rsidP="00ED1B60">
      <w:pPr>
        <w:pStyle w:val="Prrafodelista"/>
        <w:spacing w:after="120" w:line="240" w:lineRule="auto"/>
        <w:jc w:val="center"/>
        <w:rPr>
          <w:rFonts w:cstheme="minorHAnsi"/>
          <w:sz w:val="44"/>
          <w:szCs w:val="44"/>
        </w:rPr>
      </w:pPr>
      <w:r w:rsidRPr="00ED1B60">
        <w:rPr>
          <w:rFonts w:eastAsia="Arial" w:cstheme="minorHAnsi"/>
          <w:b/>
          <w:bCs/>
          <w:sz w:val="44"/>
          <w:szCs w:val="44"/>
          <w:lang w:eastAsia="es-ES"/>
        </w:rPr>
        <w:t>Drones, IA y almazaras automatizadas: la revolución tecnológica ya está en el olivar</w:t>
      </w:r>
    </w:p>
    <w:p w14:paraId="41C9F99B" w14:textId="77777777" w:rsidR="00ED1B60" w:rsidRPr="00ED1B60" w:rsidRDefault="00ED1B60" w:rsidP="00ED1B60">
      <w:pPr>
        <w:pStyle w:val="Prrafodelista"/>
        <w:spacing w:after="120" w:line="240" w:lineRule="auto"/>
        <w:jc w:val="both"/>
        <w:rPr>
          <w:rFonts w:cstheme="minorHAnsi"/>
        </w:rPr>
      </w:pPr>
    </w:p>
    <w:p w14:paraId="018845B0" w14:textId="727C731E" w:rsidR="00ED1B60" w:rsidRPr="00FF463D" w:rsidRDefault="00ED1B60" w:rsidP="00ED1B60">
      <w:pPr>
        <w:pStyle w:val="Prrafodelista"/>
        <w:numPr>
          <w:ilvl w:val="0"/>
          <w:numId w:val="19"/>
        </w:numPr>
        <w:spacing w:after="120" w:line="240" w:lineRule="auto"/>
        <w:jc w:val="both"/>
        <w:rPr>
          <w:rFonts w:cstheme="minorHAnsi"/>
        </w:rPr>
      </w:pPr>
      <w:r w:rsidRPr="00ED1B60">
        <w:rPr>
          <w:rFonts w:eastAsia="Arial" w:cstheme="minorHAnsi"/>
          <w:b/>
          <w:bCs/>
        </w:rPr>
        <w:t>Miguel Córdoba (xFarm Technologies) ha abierto las sesiones técnicas del OOWC mostrando cómo la inteligencia artificial, los drones y el análisis de datos en tiempo real están ya transformando la gestión del olivar, con herramientas capaces de optimizar el riego, anticipar plagas y reducir costes de forma significativa</w:t>
      </w:r>
    </w:p>
    <w:p w14:paraId="169ED657" w14:textId="77777777" w:rsidR="00FF463D" w:rsidRPr="00FF463D" w:rsidRDefault="00FF463D" w:rsidP="00FF463D">
      <w:pPr>
        <w:pStyle w:val="Prrafodelista"/>
        <w:spacing w:after="120" w:line="240" w:lineRule="auto"/>
        <w:jc w:val="both"/>
        <w:rPr>
          <w:rFonts w:cstheme="minorHAnsi"/>
        </w:rPr>
      </w:pPr>
    </w:p>
    <w:p w14:paraId="79142814" w14:textId="70F90710" w:rsidR="00ED1B60" w:rsidRPr="00ED1B60" w:rsidRDefault="00ED1B60" w:rsidP="00ED1B60">
      <w:pPr>
        <w:pStyle w:val="Prrafodelista"/>
        <w:numPr>
          <w:ilvl w:val="0"/>
          <w:numId w:val="19"/>
        </w:numPr>
        <w:spacing w:after="120" w:line="240" w:lineRule="auto"/>
        <w:jc w:val="both"/>
        <w:rPr>
          <w:rFonts w:cstheme="minorHAnsi"/>
        </w:rPr>
      </w:pPr>
      <w:r w:rsidRPr="00ED1B60">
        <w:rPr>
          <w:rFonts w:eastAsia="Arial" w:cstheme="minorHAnsi"/>
          <w:b/>
          <w:bCs/>
        </w:rPr>
        <w:t>Chiara Corbo (Politécnico de Milán) ha revelado que la inversión global en innovación digital para el sector agroalimentario creció un 21% en 2025 hasta los 11.500 millones de dólares, y que cuatro de cada cinco explotaciones</w:t>
      </w:r>
      <w:r w:rsidR="00E51DB5">
        <w:rPr>
          <w:rFonts w:eastAsia="Arial" w:cstheme="minorHAnsi"/>
          <w:b/>
          <w:bCs/>
        </w:rPr>
        <w:t xml:space="preserve">, </w:t>
      </w:r>
      <w:r w:rsidRPr="00ED1B60">
        <w:rPr>
          <w:rFonts w:eastAsia="Arial" w:cstheme="minorHAnsi"/>
          <w:b/>
          <w:bCs/>
        </w:rPr>
        <w:t>que ya han adoptado tecnología 4.0</w:t>
      </w:r>
      <w:r w:rsidR="00E51DB5">
        <w:rPr>
          <w:rFonts w:eastAsia="Arial" w:cstheme="minorHAnsi"/>
          <w:b/>
          <w:bCs/>
        </w:rPr>
        <w:t xml:space="preserve">, </w:t>
      </w:r>
      <w:r w:rsidRPr="00ED1B60">
        <w:rPr>
          <w:rFonts w:eastAsia="Arial" w:cstheme="minorHAnsi"/>
          <w:b/>
          <w:bCs/>
        </w:rPr>
        <w:t>planean seguir invirtiendo, con la IA como tecnología estrella y el olivar entre los sectores con mayor recorrido de transformación</w:t>
      </w:r>
    </w:p>
    <w:p w14:paraId="4295D35E" w14:textId="411F5477" w:rsidR="00ED1B60" w:rsidRPr="00ED1B60" w:rsidRDefault="00ED1B60" w:rsidP="00ED1B60">
      <w:pPr>
        <w:pStyle w:val="isselectedend"/>
        <w:numPr>
          <w:ilvl w:val="0"/>
          <w:numId w:val="19"/>
        </w:numPr>
        <w:jc w:val="both"/>
        <w:rPr>
          <w:rFonts w:asciiTheme="minorHAnsi" w:eastAsia="Arial" w:hAnsiTheme="minorHAnsi" w:cstheme="minorHAnsi"/>
          <w:b/>
          <w:bCs/>
          <w:sz w:val="22"/>
          <w:szCs w:val="22"/>
        </w:rPr>
      </w:pPr>
      <w:r w:rsidRPr="00ED1B60">
        <w:rPr>
          <w:rFonts w:asciiTheme="minorHAnsi" w:eastAsia="Arial" w:hAnsiTheme="minorHAnsi" w:cstheme="minorHAnsi"/>
          <w:b/>
          <w:bCs/>
          <w:sz w:val="22"/>
          <w:szCs w:val="22"/>
        </w:rPr>
        <w:t xml:space="preserve">La mesa redonda sobre la almazara del futuro, con Dolores Pérez (UCO), Antonio López (GEA Group) y Julián Ferrer (De Prado), </w:t>
      </w:r>
      <w:r w:rsidR="00E51DB5">
        <w:rPr>
          <w:rFonts w:asciiTheme="minorHAnsi" w:eastAsia="Arial" w:hAnsiTheme="minorHAnsi" w:cstheme="minorHAnsi"/>
          <w:b/>
          <w:bCs/>
          <w:sz w:val="22"/>
          <w:szCs w:val="22"/>
        </w:rPr>
        <w:t xml:space="preserve">destacó </w:t>
      </w:r>
      <w:r w:rsidRPr="00ED1B60">
        <w:rPr>
          <w:rFonts w:asciiTheme="minorHAnsi" w:eastAsia="Arial" w:hAnsiTheme="minorHAnsi" w:cstheme="minorHAnsi"/>
          <w:b/>
          <w:bCs/>
          <w:sz w:val="22"/>
          <w:szCs w:val="22"/>
        </w:rPr>
        <w:t>que la automatización, la eficiencia energética y la economía circular son las tres palancas que definirán la competitividad industrial del sector en los próximos años</w:t>
      </w:r>
    </w:p>
    <w:p w14:paraId="174D801F" w14:textId="479B604E" w:rsidR="00ED1B60" w:rsidRPr="00ED1B60" w:rsidRDefault="00620542" w:rsidP="00ED1B60">
      <w:pPr>
        <w:jc w:val="both"/>
        <w:rPr>
          <w:rFonts w:cstheme="minorHAnsi"/>
        </w:rPr>
      </w:pPr>
      <w:r w:rsidRPr="00ED1B60">
        <w:rPr>
          <w:rFonts w:cstheme="minorHAnsi"/>
          <w:b/>
          <w:bCs/>
        </w:rPr>
        <w:t xml:space="preserve">Madrid, a </w:t>
      </w:r>
      <w:r w:rsidR="00ED1B60" w:rsidRPr="00ED1B60">
        <w:rPr>
          <w:rFonts w:cstheme="minorHAnsi"/>
          <w:b/>
          <w:bCs/>
        </w:rPr>
        <w:t>2</w:t>
      </w:r>
      <w:r w:rsidRPr="00ED1B60">
        <w:rPr>
          <w:rFonts w:cstheme="minorHAnsi"/>
          <w:b/>
          <w:bCs/>
        </w:rPr>
        <w:t xml:space="preserve"> de </w:t>
      </w:r>
      <w:r w:rsidR="00ED1B60" w:rsidRPr="00ED1B60">
        <w:rPr>
          <w:rFonts w:cstheme="minorHAnsi"/>
          <w:b/>
          <w:bCs/>
        </w:rPr>
        <w:t>julio</w:t>
      </w:r>
      <w:r w:rsidRPr="00ED1B60">
        <w:rPr>
          <w:rFonts w:cstheme="minorHAnsi"/>
          <w:b/>
          <w:bCs/>
        </w:rPr>
        <w:t xml:space="preserve"> de 202</w:t>
      </w:r>
      <w:r w:rsidR="00967344" w:rsidRPr="00ED1B60">
        <w:rPr>
          <w:rFonts w:cstheme="minorHAnsi"/>
          <w:b/>
          <w:bCs/>
        </w:rPr>
        <w:t>6</w:t>
      </w:r>
      <w:r w:rsidR="00F73427" w:rsidRPr="00ED1B60">
        <w:rPr>
          <w:rFonts w:cstheme="minorHAnsi"/>
          <w:b/>
          <w:bCs/>
        </w:rPr>
        <w:t>.-</w:t>
      </w:r>
      <w:r w:rsidR="00F73427" w:rsidRPr="00ED1B60">
        <w:rPr>
          <w:rFonts w:cstheme="minorHAnsi"/>
        </w:rPr>
        <w:t xml:space="preserve"> </w:t>
      </w:r>
      <w:r w:rsidR="00ED1B60" w:rsidRPr="00ED1B60">
        <w:rPr>
          <w:rFonts w:eastAsia="Arial" w:cstheme="minorHAnsi"/>
        </w:rPr>
        <w:t xml:space="preserve">El </w:t>
      </w:r>
      <w:r w:rsidR="00ED1B60">
        <w:rPr>
          <w:rFonts w:eastAsia="Arial" w:cstheme="minorHAnsi"/>
          <w:b/>
          <w:bCs/>
        </w:rPr>
        <w:t>Olive Oil World Congress</w:t>
      </w:r>
      <w:r w:rsidR="00ED1B60" w:rsidRPr="00ED1B60">
        <w:rPr>
          <w:rFonts w:eastAsia="Arial" w:cstheme="minorHAnsi"/>
          <w:b/>
          <w:bCs/>
        </w:rPr>
        <w:t xml:space="preserve"> (OOWC)</w:t>
      </w:r>
      <w:r w:rsidR="00ED1B60" w:rsidRPr="00ED1B60">
        <w:rPr>
          <w:rFonts w:eastAsia="Arial" w:cstheme="minorHAnsi"/>
        </w:rPr>
        <w:t xml:space="preserve"> ha arrancado su primera jornada técnica con la innovación como protagonista indiscutible. Inteligencia artificial, drones, plataformas de gestión de datos, digitalización de la cadena de valor y automatización industrial han centrado las primeras intervenciones de un programa que confirma que el olivar y la almazara del siglo XXI tienen en la tecnología su principal palanca de competitividad.</w:t>
      </w:r>
    </w:p>
    <w:p w14:paraId="1338D7EB" w14:textId="099BEAC6" w:rsidR="00ED1B60" w:rsidRPr="00ED1B60" w:rsidRDefault="00ED1B60" w:rsidP="00ED1B60">
      <w:pPr>
        <w:jc w:val="both"/>
        <w:rPr>
          <w:rFonts w:cstheme="minorHAnsi"/>
        </w:rPr>
      </w:pPr>
      <w:r w:rsidRPr="00ED1B60">
        <w:rPr>
          <w:rFonts w:eastAsia="Arial" w:cstheme="minorHAnsi"/>
          <w:b/>
          <w:bCs/>
        </w:rPr>
        <w:t>Miguel Córdoba</w:t>
      </w:r>
      <w:r w:rsidRPr="00ED1B60">
        <w:rPr>
          <w:rFonts w:eastAsia="Arial" w:cstheme="minorHAnsi"/>
        </w:rPr>
        <w:t xml:space="preserve">, de </w:t>
      </w:r>
      <w:r w:rsidRPr="00ED1B60">
        <w:rPr>
          <w:rFonts w:eastAsia="Arial" w:cstheme="minorHAnsi"/>
          <w:b/>
          <w:bCs/>
        </w:rPr>
        <w:t>xFarm Technologies</w:t>
      </w:r>
      <w:r w:rsidRPr="00ED1B60">
        <w:rPr>
          <w:rFonts w:eastAsia="Arial" w:cstheme="minorHAnsi"/>
        </w:rPr>
        <w:t xml:space="preserve">, ha inaugurado las sesiones técnicas con una exposición sobre el impacto real que </w:t>
      </w:r>
      <w:r w:rsidR="0001766B">
        <w:rPr>
          <w:rFonts w:eastAsia="Arial" w:cstheme="minorHAnsi"/>
        </w:rPr>
        <w:t xml:space="preserve">la aplicación de nuevas tecnologías </w:t>
      </w:r>
      <w:r w:rsidRPr="00ED1B60">
        <w:rPr>
          <w:rFonts w:eastAsia="Arial" w:cstheme="minorHAnsi"/>
        </w:rPr>
        <w:t>está teniendo ya en el cultivo del olivo</w:t>
      </w:r>
      <w:r w:rsidR="007428A4">
        <w:rPr>
          <w:rFonts w:eastAsia="Arial" w:cstheme="minorHAnsi"/>
        </w:rPr>
        <w:t xml:space="preserve">, que vive un momento clave de convergencia tecnológica. </w:t>
      </w:r>
      <w:r w:rsidRPr="00ED1B60">
        <w:rPr>
          <w:rFonts w:eastAsia="Arial" w:cstheme="minorHAnsi"/>
        </w:rPr>
        <w:t xml:space="preserve">Bajo el título </w:t>
      </w:r>
      <w:r w:rsidRPr="00ED1B60">
        <w:rPr>
          <w:rFonts w:eastAsia="Arial" w:cstheme="minorHAnsi"/>
          <w:b/>
          <w:bCs/>
          <w:i/>
          <w:iCs/>
        </w:rPr>
        <w:t>“Smart farming en el sector del aceite de oliva: IA, drones y datos”</w:t>
      </w:r>
      <w:r w:rsidRPr="00ED1B60">
        <w:rPr>
          <w:rFonts w:eastAsia="Arial" w:cstheme="minorHAnsi"/>
        </w:rPr>
        <w:t>, Córdoba ha mostrado cómo las plataformas de gestión digital permiten hoy monitorizar parcelas en tiempo real, optimizar el riego y la fertilización, detectar la presencia de plagas —como la mosca del olivo— y planificar las labores de campo con una precisión hasta ahora imposible para la mayoría de los olivicultores. El experto ha subrayado que estas tecnologías, lejos de ser exclusivas de grandes explotaciones, están siendo accesibles para productores medianos, y ha llamado al sector a entenderlas como una inversión estratégica para reducir costes e incrementar la calidad.</w:t>
      </w:r>
    </w:p>
    <w:p w14:paraId="2578D1BE" w14:textId="10485DFD" w:rsidR="00ED1B60" w:rsidRDefault="00ED1B60" w:rsidP="00ED1B60">
      <w:pPr>
        <w:pBdr>
          <w:bottom w:val="single" w:sz="4" w:space="4" w:color="5A7A35"/>
        </w:pBdr>
        <w:spacing w:before="200" w:after="100"/>
        <w:jc w:val="both"/>
        <w:rPr>
          <w:rFonts w:eastAsia="Arial" w:cstheme="minorHAnsi"/>
          <w:b/>
          <w:bCs/>
        </w:rPr>
      </w:pPr>
      <w:r w:rsidRPr="00ED1B60">
        <w:rPr>
          <w:rFonts w:eastAsia="Arial" w:cstheme="minorHAnsi"/>
          <w:b/>
          <w:bCs/>
        </w:rPr>
        <w:t>El sector agroalimentario digital crece</w:t>
      </w:r>
    </w:p>
    <w:p w14:paraId="43B7649E" w14:textId="268DCBFC" w:rsidR="00ED1B60" w:rsidRDefault="00ED1B60" w:rsidP="00ED1B60">
      <w:pPr>
        <w:pBdr>
          <w:bottom w:val="single" w:sz="4" w:space="4" w:color="5A7A35"/>
        </w:pBdr>
        <w:spacing w:before="200" w:after="100"/>
        <w:jc w:val="both"/>
        <w:rPr>
          <w:rFonts w:eastAsia="Arial" w:cstheme="minorHAnsi"/>
        </w:rPr>
      </w:pPr>
      <w:r w:rsidRPr="00ED1B60">
        <w:rPr>
          <w:rFonts w:eastAsia="Arial" w:cstheme="minorHAnsi"/>
          <w:b/>
          <w:bCs/>
        </w:rPr>
        <w:t>Chiara Corbo</w:t>
      </w:r>
      <w:r w:rsidRPr="00ED1B60">
        <w:rPr>
          <w:rFonts w:eastAsia="Arial" w:cstheme="minorHAnsi"/>
        </w:rPr>
        <w:t xml:space="preserve">, directora del </w:t>
      </w:r>
      <w:r w:rsidRPr="00ED1B60">
        <w:rPr>
          <w:rFonts w:eastAsia="Arial" w:cstheme="minorHAnsi"/>
          <w:b/>
          <w:bCs/>
        </w:rPr>
        <w:t>Smart AgriFood Observatory del</w:t>
      </w:r>
      <w:r w:rsidR="0001766B">
        <w:rPr>
          <w:rFonts w:eastAsia="Arial" w:cstheme="minorHAnsi"/>
          <w:b/>
          <w:bCs/>
        </w:rPr>
        <w:t xml:space="preserve"> </w:t>
      </w:r>
      <w:r w:rsidRPr="00ED1B60">
        <w:rPr>
          <w:rFonts w:eastAsia="Arial" w:cstheme="minorHAnsi"/>
          <w:b/>
          <w:bCs/>
        </w:rPr>
        <w:t>Politécnico de Milán</w:t>
      </w:r>
      <w:r w:rsidRPr="00ED1B60">
        <w:rPr>
          <w:rFonts w:eastAsia="Arial" w:cstheme="minorHAnsi"/>
        </w:rPr>
        <w:t xml:space="preserve">, ha aportado los datos globales que enmarcan esta transformación. Según el observatorio que dirige, </w:t>
      </w:r>
      <w:r w:rsidRPr="00ED1B60">
        <w:rPr>
          <w:rFonts w:eastAsia="Arial" w:cstheme="minorHAnsi"/>
          <w:b/>
          <w:bCs/>
        </w:rPr>
        <w:t>2025 ha marcado un punto de inflexión</w:t>
      </w:r>
      <w:r w:rsidRPr="00ED1B60">
        <w:rPr>
          <w:rFonts w:eastAsia="Arial" w:cstheme="minorHAnsi"/>
        </w:rPr>
        <w:t xml:space="preserve">: la inversión global en innovación digital para el sector agroalimentario ha crecido un </w:t>
      </w:r>
      <w:r w:rsidRPr="00ED1B60">
        <w:rPr>
          <w:rFonts w:eastAsia="Arial" w:cstheme="minorHAnsi"/>
          <w:b/>
          <w:bCs/>
        </w:rPr>
        <w:t>21%</w:t>
      </w:r>
      <w:r w:rsidRPr="00ED1B60">
        <w:rPr>
          <w:rFonts w:eastAsia="Arial" w:cstheme="minorHAnsi"/>
        </w:rPr>
        <w:t xml:space="preserve">, alcanzando los </w:t>
      </w:r>
      <w:r w:rsidRPr="00ED1B60">
        <w:rPr>
          <w:rFonts w:eastAsia="Arial" w:cstheme="minorHAnsi"/>
          <w:b/>
          <w:bCs/>
        </w:rPr>
        <w:t>11.500 millones de dólares</w:t>
      </w:r>
      <w:r w:rsidRPr="00ED1B60">
        <w:rPr>
          <w:rFonts w:eastAsia="Arial" w:cstheme="minorHAnsi"/>
        </w:rPr>
        <w:t xml:space="preserve">, mientras que el </w:t>
      </w:r>
      <w:r w:rsidRPr="00ED1B60">
        <w:rPr>
          <w:rFonts w:eastAsia="Arial" w:cstheme="minorHAnsi"/>
        </w:rPr>
        <w:lastRenderedPageBreak/>
        <w:t xml:space="preserve">número de </w:t>
      </w:r>
      <w:r w:rsidRPr="00E51DB5">
        <w:rPr>
          <w:rFonts w:eastAsia="Arial" w:cstheme="minorHAnsi"/>
          <w:i/>
          <w:iCs/>
        </w:rPr>
        <w:t>startups</w:t>
      </w:r>
      <w:r w:rsidRPr="00ED1B60">
        <w:rPr>
          <w:rFonts w:eastAsia="Arial" w:cstheme="minorHAnsi"/>
        </w:rPr>
        <w:t xml:space="preserve"> activas en el sector ha repuntado un </w:t>
      </w:r>
      <w:r w:rsidRPr="00ED1B60">
        <w:rPr>
          <w:rFonts w:eastAsia="Arial" w:cstheme="minorHAnsi"/>
          <w:b/>
          <w:bCs/>
        </w:rPr>
        <w:t>6%</w:t>
      </w:r>
      <w:r w:rsidR="00E51DB5">
        <w:rPr>
          <w:rFonts w:eastAsia="Arial" w:cstheme="minorHAnsi"/>
        </w:rPr>
        <w:t xml:space="preserve">, </w:t>
      </w:r>
      <w:r w:rsidRPr="00ED1B60">
        <w:rPr>
          <w:rFonts w:eastAsia="Arial" w:cstheme="minorHAnsi"/>
        </w:rPr>
        <w:t xml:space="preserve">tras el frenazo de 2024. </w:t>
      </w:r>
      <w:r w:rsidRPr="00ED1B60">
        <w:rPr>
          <w:rFonts w:eastAsia="Arial" w:cstheme="minorHAnsi"/>
          <w:b/>
          <w:bCs/>
          <w:i/>
          <w:iCs/>
        </w:rPr>
        <w:t>“Estamos ante una fase de madurez: los inversores ya no financian promesas, financian soluciones escalables con impacto real en la cadena de valor”</w:t>
      </w:r>
      <w:r w:rsidRPr="00ED1B60">
        <w:rPr>
          <w:rFonts w:eastAsia="Arial" w:cstheme="minorHAnsi"/>
        </w:rPr>
        <w:t>, ha señalado Corbo. La consolidación del ecosistema refleja una selección más exigente por parte de los fondos de capital riesgo, orientados hacia iniciativas con capacidad de generar impacto concreto a lo largo de toda la cadena agroalimentaria.</w:t>
      </w:r>
    </w:p>
    <w:p w14:paraId="70472662" w14:textId="72316C82" w:rsidR="003335A7" w:rsidRDefault="0001766B" w:rsidP="00ED1B60">
      <w:pPr>
        <w:pBdr>
          <w:bottom w:val="single" w:sz="4" w:space="4" w:color="5A7A35"/>
        </w:pBdr>
        <w:spacing w:before="200" w:after="100"/>
        <w:jc w:val="both"/>
        <w:rPr>
          <w:rFonts w:eastAsia="Arial" w:cstheme="minorHAnsi"/>
        </w:rPr>
      </w:pPr>
      <w:r>
        <w:rPr>
          <w:rFonts w:eastAsia="Arial" w:cstheme="minorHAnsi"/>
        </w:rPr>
        <w:t>Según los datos aportados por Corbo, l</w:t>
      </w:r>
      <w:r w:rsidR="00ED1B60" w:rsidRPr="00ED1B60">
        <w:rPr>
          <w:rFonts w:eastAsia="Arial" w:cstheme="minorHAnsi"/>
        </w:rPr>
        <w:t xml:space="preserve">a </w:t>
      </w:r>
      <w:r w:rsidR="00ED1B60" w:rsidRPr="00ED1B60">
        <w:rPr>
          <w:rFonts w:eastAsia="Arial" w:cstheme="minorHAnsi"/>
          <w:b/>
          <w:bCs/>
        </w:rPr>
        <w:t>Inteligencia Artificial</w:t>
      </w:r>
      <w:r w:rsidR="00ED1B60" w:rsidRPr="00ED1B60">
        <w:rPr>
          <w:rFonts w:eastAsia="Arial" w:cstheme="minorHAnsi"/>
        </w:rPr>
        <w:t xml:space="preserve"> se consolida como la tecnología más implantada: </w:t>
      </w:r>
      <w:r w:rsidR="00ED1B60" w:rsidRPr="00ED1B60">
        <w:rPr>
          <w:rFonts w:eastAsia="Arial" w:cstheme="minorHAnsi"/>
          <w:b/>
          <w:bCs/>
        </w:rPr>
        <w:t>cuatro de cada cinco explotaciones</w:t>
      </w:r>
      <w:r w:rsidR="00ED1B60" w:rsidRPr="00ED1B60">
        <w:rPr>
          <w:rFonts w:eastAsia="Arial" w:cstheme="minorHAnsi"/>
        </w:rPr>
        <w:t xml:space="preserve"> que ya han adoptado soluciones 4.0 planean seguir invirtiendo en los próximos años. Las aplicaciones más extendidas abarcan la predicción meteorológica, la optimización del riego y la fertilización, el control de calidad y la trazabilidad del producto. </w:t>
      </w:r>
    </w:p>
    <w:p w14:paraId="32A1B4F8" w14:textId="77777777" w:rsidR="00E51DB5" w:rsidRDefault="00ED1B60" w:rsidP="00ED1B60">
      <w:pPr>
        <w:pBdr>
          <w:bottom w:val="single" w:sz="4" w:space="4" w:color="5A7A35"/>
        </w:pBdr>
        <w:spacing w:before="200" w:after="100"/>
        <w:jc w:val="both"/>
        <w:rPr>
          <w:rFonts w:eastAsia="Arial" w:cstheme="minorHAnsi"/>
        </w:rPr>
      </w:pPr>
      <w:r w:rsidRPr="00ED1B60">
        <w:rPr>
          <w:rFonts w:eastAsia="Arial" w:cstheme="minorHAnsi"/>
          <w:b/>
          <w:bCs/>
        </w:rPr>
        <w:t>El sector del aceite de oliva</w:t>
      </w:r>
      <w:r w:rsidRPr="00ED1B60">
        <w:rPr>
          <w:rFonts w:eastAsia="Arial" w:cstheme="minorHAnsi"/>
        </w:rPr>
        <w:t xml:space="preserve"> cuenta ya con ejemplos concretos: drones para la detección de mosca del olivo y la aplicación de tratamientos fitosanitarios en zonas de difícil acceso, fertilización a tasa variable mediante cartografía espacial del olivar, y herramientas digitales de trazabilidad que protegen el producto frente a la falsificación y permiten gestionar grandes volúmenes de datos a lo largo de toda la cadena. </w:t>
      </w:r>
    </w:p>
    <w:p w14:paraId="7B1CAD0F" w14:textId="3BE693C4" w:rsidR="00ED1B60" w:rsidRPr="00ED1B60" w:rsidRDefault="00ED1B60" w:rsidP="00ED1B60">
      <w:pPr>
        <w:pBdr>
          <w:bottom w:val="single" w:sz="4" w:space="4" w:color="5A7A35"/>
        </w:pBdr>
        <w:spacing w:before="200" w:after="100"/>
        <w:jc w:val="both"/>
        <w:rPr>
          <w:rFonts w:cstheme="minorHAnsi"/>
        </w:rPr>
      </w:pPr>
      <w:r w:rsidRPr="00ED1B60">
        <w:rPr>
          <w:rFonts w:eastAsia="Arial" w:cstheme="minorHAnsi"/>
        </w:rPr>
        <w:t>Corbo ha advertido, no obstante, que la conectividad rural deficiente, los problemas de interoperabilidad entre plataformas y las barreras culturales entre los agricultores siguen frenando la adopción, y ha reclamado políticas activas de acompañamiento digital. La propia Unión Europea,</w:t>
      </w:r>
      <w:r w:rsidR="00E51DB5">
        <w:rPr>
          <w:rFonts w:eastAsia="Arial" w:cstheme="minorHAnsi"/>
        </w:rPr>
        <w:t xml:space="preserve"> en </w:t>
      </w:r>
      <w:r w:rsidRPr="00ED1B60">
        <w:rPr>
          <w:rFonts w:eastAsia="Arial" w:cstheme="minorHAnsi"/>
        </w:rPr>
        <w:t xml:space="preserve">su </w:t>
      </w:r>
      <w:r w:rsidR="00E51DB5">
        <w:rPr>
          <w:rFonts w:eastAsia="Arial" w:cstheme="minorHAnsi"/>
        </w:rPr>
        <w:t>‘</w:t>
      </w:r>
      <w:r w:rsidRPr="00ED1B60">
        <w:rPr>
          <w:rFonts w:eastAsia="Arial" w:cstheme="minorHAnsi"/>
          <w:b/>
          <w:bCs/>
        </w:rPr>
        <w:t>Visión para la Agricultura y la Alimentación</w:t>
      </w:r>
      <w:r w:rsidR="00E51DB5">
        <w:rPr>
          <w:rFonts w:eastAsia="Arial" w:cstheme="minorHAnsi"/>
          <w:b/>
          <w:bCs/>
        </w:rPr>
        <w:t>’</w:t>
      </w:r>
      <w:r w:rsidRPr="00ED1B60">
        <w:rPr>
          <w:rFonts w:eastAsia="Arial" w:cstheme="minorHAnsi"/>
        </w:rPr>
        <w:t xml:space="preserve">, sitúa la digitalización en el centro de la transición hacia una agricultura más competitiva y sostenible, ampliando los fondos de </w:t>
      </w:r>
      <w:r w:rsidRPr="00E51DB5">
        <w:rPr>
          <w:rFonts w:eastAsia="Arial" w:cstheme="minorHAnsi"/>
          <w:b/>
          <w:bCs/>
          <w:i/>
          <w:iCs/>
        </w:rPr>
        <w:t>Horizon Europe</w:t>
      </w:r>
      <w:r w:rsidRPr="00ED1B60">
        <w:rPr>
          <w:rFonts w:eastAsia="Arial" w:cstheme="minorHAnsi"/>
        </w:rPr>
        <w:t xml:space="preserve"> dedicados a IA y tecnologías avanzadas.</w:t>
      </w:r>
    </w:p>
    <w:p w14:paraId="068B14CC" w14:textId="77777777" w:rsidR="00ED1B60" w:rsidRDefault="00ED1B60" w:rsidP="00ED1B60">
      <w:pPr>
        <w:pBdr>
          <w:bottom w:val="single" w:sz="4" w:space="4" w:color="5A7A35"/>
        </w:pBdr>
        <w:spacing w:before="200" w:after="100"/>
        <w:jc w:val="both"/>
        <w:rPr>
          <w:rFonts w:eastAsia="Arial" w:cstheme="minorHAnsi"/>
          <w:b/>
          <w:bCs/>
        </w:rPr>
      </w:pPr>
      <w:r w:rsidRPr="00ED1B60">
        <w:rPr>
          <w:rFonts w:eastAsia="Arial" w:cstheme="minorHAnsi"/>
          <w:b/>
          <w:bCs/>
        </w:rPr>
        <w:t>La almazara del futuro: automatización, eficiencia energética y economía circular</w:t>
      </w:r>
    </w:p>
    <w:p w14:paraId="29F35FA2" w14:textId="77777777" w:rsidR="00E51DB5" w:rsidRDefault="00ED1B60" w:rsidP="00ED1B60">
      <w:pPr>
        <w:pBdr>
          <w:bottom w:val="single" w:sz="4" w:space="4" w:color="5A7A35"/>
        </w:pBdr>
        <w:spacing w:before="200" w:after="100"/>
        <w:jc w:val="both"/>
        <w:rPr>
          <w:rFonts w:eastAsia="Arial" w:cstheme="minorHAnsi"/>
        </w:rPr>
      </w:pPr>
      <w:r w:rsidRPr="00ED1B60">
        <w:rPr>
          <w:rFonts w:eastAsia="Arial" w:cstheme="minorHAnsi"/>
        </w:rPr>
        <w:t xml:space="preserve">En el bloque de procesos industriales, </w:t>
      </w:r>
      <w:r w:rsidRPr="00ED1B60">
        <w:rPr>
          <w:rFonts w:eastAsia="Arial" w:cstheme="minorHAnsi"/>
          <w:b/>
          <w:bCs/>
        </w:rPr>
        <w:t>Dolores Pérez</w:t>
      </w:r>
      <w:r w:rsidRPr="00ED1B60">
        <w:rPr>
          <w:rFonts w:eastAsia="Arial" w:cstheme="minorHAnsi"/>
        </w:rPr>
        <w:t xml:space="preserve">, investigadora de la </w:t>
      </w:r>
      <w:r w:rsidRPr="00ED1B60">
        <w:rPr>
          <w:rFonts w:eastAsia="Arial" w:cstheme="minorHAnsi"/>
          <w:b/>
          <w:bCs/>
        </w:rPr>
        <w:t>Universidad de Córdoba (UCO)</w:t>
      </w:r>
      <w:r w:rsidRPr="00ED1B60">
        <w:rPr>
          <w:rFonts w:eastAsia="Arial" w:cstheme="minorHAnsi"/>
        </w:rPr>
        <w:t xml:space="preserve">; </w:t>
      </w:r>
      <w:r w:rsidRPr="00ED1B60">
        <w:rPr>
          <w:rFonts w:eastAsia="Arial" w:cstheme="minorHAnsi"/>
          <w:b/>
          <w:bCs/>
        </w:rPr>
        <w:t>Antonio López</w:t>
      </w:r>
      <w:r w:rsidRPr="00ED1B60">
        <w:rPr>
          <w:rFonts w:eastAsia="Arial" w:cstheme="minorHAnsi"/>
        </w:rPr>
        <w:t xml:space="preserve">, de </w:t>
      </w:r>
      <w:r w:rsidRPr="00ED1B60">
        <w:rPr>
          <w:rFonts w:eastAsia="Arial" w:cstheme="minorHAnsi"/>
          <w:b/>
          <w:bCs/>
        </w:rPr>
        <w:t>GEA Group</w:t>
      </w:r>
      <w:r w:rsidRPr="00ED1B60">
        <w:rPr>
          <w:rFonts w:eastAsia="Arial" w:cstheme="minorHAnsi"/>
        </w:rPr>
        <w:t xml:space="preserve">; y </w:t>
      </w:r>
      <w:r w:rsidRPr="00ED1B60">
        <w:rPr>
          <w:rFonts w:eastAsia="Arial" w:cstheme="minorHAnsi"/>
          <w:b/>
          <w:bCs/>
        </w:rPr>
        <w:t>Julián Ferrer de Prado</w:t>
      </w:r>
      <w:r w:rsidRPr="00ED1B60">
        <w:rPr>
          <w:rFonts w:eastAsia="Arial" w:cstheme="minorHAnsi"/>
        </w:rPr>
        <w:t xml:space="preserve"> han protagonizado una mesa redonda sobre </w:t>
      </w:r>
      <w:r w:rsidRPr="00ED1B60">
        <w:rPr>
          <w:rFonts w:eastAsia="Arial" w:cstheme="minorHAnsi"/>
          <w:b/>
          <w:bCs/>
          <w:i/>
          <w:iCs/>
        </w:rPr>
        <w:t>“La almazara del futuro: automatización, eficiencia energética y circularidad”</w:t>
      </w:r>
      <w:r w:rsidRPr="00ED1B60">
        <w:rPr>
          <w:rFonts w:eastAsia="Arial" w:cstheme="minorHAnsi"/>
        </w:rPr>
        <w:t xml:space="preserve">. </w:t>
      </w:r>
    </w:p>
    <w:p w14:paraId="130F4032" w14:textId="17BF88E4" w:rsidR="00ED1B60" w:rsidRDefault="00ED1B60" w:rsidP="00ED1B60">
      <w:pPr>
        <w:pBdr>
          <w:bottom w:val="single" w:sz="4" w:space="4" w:color="5A7A35"/>
        </w:pBdr>
        <w:spacing w:before="200" w:after="100"/>
        <w:jc w:val="both"/>
        <w:rPr>
          <w:rFonts w:eastAsia="Arial" w:cstheme="minorHAnsi"/>
        </w:rPr>
      </w:pPr>
      <w:r w:rsidRPr="00ED1B60">
        <w:rPr>
          <w:rFonts w:eastAsia="Arial" w:cstheme="minorHAnsi"/>
        </w:rPr>
        <w:t>Los tres expertos han coincidido en que la almazara del siglo XXI debe integrar sistemas de automatización que reduzcan la dependencia de mano de obra, optimicen los tiempos de extracción y garanticen una calidad homogénea del aceite, con una trazabilidad digital que refuerce la confianza del consumidor y permita diferenciar el producto en mercados premium.</w:t>
      </w:r>
    </w:p>
    <w:p w14:paraId="73E82528" w14:textId="77777777" w:rsidR="00E51DB5" w:rsidRDefault="00ED1B60" w:rsidP="00ED1B60">
      <w:pPr>
        <w:pBdr>
          <w:bottom w:val="single" w:sz="4" w:space="4" w:color="5A7A35"/>
        </w:pBdr>
        <w:spacing w:before="200" w:after="100"/>
        <w:jc w:val="both"/>
        <w:rPr>
          <w:rFonts w:eastAsia="Arial" w:cstheme="minorHAnsi"/>
        </w:rPr>
      </w:pPr>
      <w:r w:rsidRPr="00ED1B60">
        <w:rPr>
          <w:rFonts w:eastAsia="Arial" w:cstheme="minorHAnsi"/>
        </w:rPr>
        <w:t xml:space="preserve">La </w:t>
      </w:r>
      <w:r w:rsidRPr="00ED1B60">
        <w:rPr>
          <w:rFonts w:eastAsia="Arial" w:cstheme="minorHAnsi"/>
          <w:b/>
          <w:bCs/>
        </w:rPr>
        <w:t>eficiencia energética</w:t>
      </w:r>
      <w:r w:rsidRPr="00ED1B60">
        <w:rPr>
          <w:rFonts w:eastAsia="Arial" w:cstheme="minorHAnsi"/>
        </w:rPr>
        <w:t xml:space="preserve"> ha centrado parte del debate: el coste de la energía es uno de los principales gastos operativos de las almazaras, y los expertos han señalado el margen de mejora que existe a través de la recuperación de calor en los procesos de extracción, la integración de energías renovables y la monitorización inteligente del consumo. </w:t>
      </w:r>
    </w:p>
    <w:p w14:paraId="4B4F2E57" w14:textId="73A5096C" w:rsidR="00ED1B60" w:rsidRDefault="00ED1B60" w:rsidP="00ED1B60">
      <w:pPr>
        <w:pBdr>
          <w:bottom w:val="single" w:sz="4" w:space="4" w:color="5A7A35"/>
        </w:pBdr>
        <w:spacing w:before="200" w:after="100"/>
        <w:jc w:val="both"/>
        <w:rPr>
          <w:rFonts w:eastAsia="Arial" w:cstheme="minorHAnsi"/>
        </w:rPr>
      </w:pPr>
      <w:r w:rsidRPr="00ED1B60">
        <w:rPr>
          <w:rFonts w:eastAsia="Arial" w:cstheme="minorHAnsi"/>
        </w:rPr>
        <w:lastRenderedPageBreak/>
        <w:t xml:space="preserve">La </w:t>
      </w:r>
      <w:r w:rsidRPr="00ED1B60">
        <w:rPr>
          <w:rFonts w:eastAsia="Arial" w:cstheme="minorHAnsi"/>
          <w:b/>
          <w:bCs/>
        </w:rPr>
        <w:t>economía circular</w:t>
      </w:r>
      <w:r w:rsidRPr="00ED1B60">
        <w:rPr>
          <w:rFonts w:eastAsia="Arial" w:cstheme="minorHAnsi"/>
        </w:rPr>
        <w:t xml:space="preserve"> ha completado el triángulo</w:t>
      </w:r>
      <w:r w:rsidR="00E51DB5">
        <w:rPr>
          <w:rFonts w:eastAsia="Arial" w:cstheme="minorHAnsi"/>
        </w:rPr>
        <w:t xml:space="preserve"> del debate</w:t>
      </w:r>
      <w:r w:rsidRPr="00ED1B60">
        <w:rPr>
          <w:rFonts w:eastAsia="Arial" w:cstheme="minorHAnsi"/>
        </w:rPr>
        <w:t>: los subproductos del proceso de extracción —alperujo, aguas de vegetación, hueso de aceituna— concentran un potencial industrial y energético que el sector todavía no aprovecha en su totalidad. Para los participantes en la mesa, transformar estos subproductos en nuevas fuentes de valor no es solo una oportunidad económica, sino una exigencia de la sostenibilidad que los mercados y las regulaciones van a imponer de forma creciente.</w:t>
      </w:r>
    </w:p>
    <w:p w14:paraId="785CC8A9" w14:textId="77777777" w:rsidR="00ED1B60" w:rsidRDefault="00ED1B60" w:rsidP="00ED1B60">
      <w:pPr>
        <w:pBdr>
          <w:bottom w:val="single" w:sz="4" w:space="4" w:color="5A7A35"/>
        </w:pBdr>
        <w:spacing w:before="200" w:after="100"/>
        <w:jc w:val="both"/>
        <w:rPr>
          <w:rFonts w:eastAsia="Arial" w:cstheme="minorHAnsi"/>
        </w:rPr>
      </w:pPr>
      <w:r w:rsidRPr="00ED1B60">
        <w:rPr>
          <w:rFonts w:eastAsia="Arial" w:cstheme="minorHAnsi"/>
        </w:rPr>
        <w:t xml:space="preserve">Estas sesiones forman parte del </w:t>
      </w:r>
      <w:r w:rsidRPr="00ED1B60">
        <w:rPr>
          <w:rFonts w:eastAsia="Arial" w:cstheme="minorHAnsi"/>
          <w:b/>
          <w:bCs/>
        </w:rPr>
        <w:t>intenso programa de la primera jornada del OOWC</w:t>
      </w:r>
      <w:r w:rsidRPr="00ED1B60">
        <w:rPr>
          <w:rFonts w:eastAsia="Arial" w:cstheme="minorHAnsi"/>
        </w:rPr>
        <w:t xml:space="preserve">, que se extiende a lo largo de todo el día con bloques dedicados a la mejora genética y la resiliencia climática del olivar, el riego y la fertilización, la calidad y seguridad del producto, las propiedades sensoriales del aceite virgen extra y la presentación de pósteres científicos, antes de la </w:t>
      </w:r>
      <w:r w:rsidRPr="00ED1B60">
        <w:rPr>
          <w:rFonts w:eastAsia="Arial" w:cstheme="minorHAnsi"/>
          <w:b/>
          <w:bCs/>
        </w:rPr>
        <w:t>cata de aceites de oliva del mundo</w:t>
      </w:r>
      <w:r w:rsidRPr="00ED1B60">
        <w:rPr>
          <w:rFonts w:eastAsia="Arial" w:cstheme="minorHAnsi"/>
        </w:rPr>
        <w:t xml:space="preserve"> y la </w:t>
      </w:r>
      <w:r w:rsidRPr="00ED1B60">
        <w:rPr>
          <w:rFonts w:eastAsia="Arial" w:cstheme="minorHAnsi"/>
          <w:b/>
          <w:bCs/>
        </w:rPr>
        <w:t>gala de premios</w:t>
      </w:r>
      <w:r w:rsidRPr="00ED1B60">
        <w:rPr>
          <w:rFonts w:eastAsia="Arial" w:cstheme="minorHAnsi"/>
        </w:rPr>
        <w:t xml:space="preserve"> que cerrarán la noche.</w:t>
      </w:r>
    </w:p>
    <w:p w14:paraId="6F9E4E78" w14:textId="3592BC68" w:rsidR="00ED1B60" w:rsidRDefault="00B557F0" w:rsidP="00ED1B60">
      <w:pPr>
        <w:pBdr>
          <w:bottom w:val="single" w:sz="4" w:space="4" w:color="5A7A35"/>
        </w:pBdr>
        <w:spacing w:before="200" w:after="100"/>
        <w:jc w:val="both"/>
        <w:rPr>
          <w:rFonts w:cstheme="minorHAnsi"/>
          <w:lang w:val="es-ES"/>
        </w:rPr>
      </w:pPr>
      <w:r w:rsidRPr="00B557F0">
        <w:rPr>
          <w:rFonts w:cstheme="minorHAnsi"/>
          <w:lang w:val="es-ES"/>
        </w:rPr>
        <w:t>El Congreso cuenta con el respaldo institucional del Consejo Oleícola Internacional (COI), el CIHEAM Zaragoza y la Fundación Dieta Mediterránea, junto a entidades públicas como el Ministerio de Agricultura y Asuntos Marítimos de Portugal, la Junta de Castilla-La Mancha ('Campo y Alma'), la Generalitat de Catalunya</w:t>
      </w:r>
      <w:r w:rsidR="004D5485">
        <w:rPr>
          <w:rFonts w:cstheme="minorHAnsi"/>
          <w:lang w:val="es-ES"/>
        </w:rPr>
        <w:t>, la Junta de Andalucía</w:t>
      </w:r>
      <w:r w:rsidRPr="00B557F0">
        <w:rPr>
          <w:rFonts w:cstheme="minorHAnsi"/>
          <w:lang w:val="es-ES"/>
        </w:rPr>
        <w:t xml:space="preserve"> y el IMIDRA.</w:t>
      </w:r>
    </w:p>
    <w:p w14:paraId="306D6D27" w14:textId="77777777" w:rsidR="00335A87" w:rsidRDefault="00B557F0" w:rsidP="00335A87">
      <w:pPr>
        <w:pBdr>
          <w:bottom w:val="single" w:sz="4" w:space="4" w:color="5A7A35"/>
        </w:pBdr>
        <w:spacing w:before="200" w:after="100"/>
        <w:jc w:val="both"/>
        <w:rPr>
          <w:rFonts w:cstheme="minorHAnsi"/>
          <w:lang w:val="es-ES"/>
        </w:rPr>
      </w:pPr>
      <w:r w:rsidRPr="00B557F0">
        <w:rPr>
          <w:rFonts w:cstheme="minorHAnsi"/>
          <w:lang w:val="es-ES"/>
        </w:rPr>
        <w:t>En el ámbito privado respaldan, por ahora, esta segunda edición, además de Olivum, entidades como AgroBank,</w:t>
      </w:r>
      <w:r w:rsidR="004D5485">
        <w:rPr>
          <w:rFonts w:cstheme="minorHAnsi"/>
          <w:lang w:val="es-ES"/>
        </w:rPr>
        <w:t xml:space="preserve"> BPI de Grupo Caixabank,</w:t>
      </w:r>
      <w:r w:rsidRPr="00B557F0">
        <w:rPr>
          <w:rFonts w:cstheme="minorHAnsi"/>
          <w:lang w:val="es-ES"/>
        </w:rPr>
        <w:t xml:space="preserve"> la Interprofesional del Aceite de Oliva Español, GEA Group, Novonesis-Univar Solutions, APOAC (Associação para a Promoção do Olival e Azeite de Aire e Candeeiros) con su marca comercial ‘Olivedos do Carso’, Adsaica (Associação de Desenvolvimento das Serras de Aire e Candeeiros), Feria de Zaragoza (ENOMAQ), Kubota, </w:t>
      </w:r>
      <w:proofErr w:type="spellStart"/>
      <w:r w:rsidRPr="00B557F0">
        <w:rPr>
          <w:rFonts w:cstheme="minorHAnsi"/>
          <w:lang w:val="es-ES"/>
        </w:rPr>
        <w:t>Dazeite</w:t>
      </w:r>
      <w:proofErr w:type="spellEnd"/>
      <w:r w:rsidRPr="00B557F0">
        <w:rPr>
          <w:rFonts w:cstheme="minorHAnsi"/>
          <w:lang w:val="es-ES"/>
        </w:rPr>
        <w:t xml:space="preserve"> y </w:t>
      </w:r>
      <w:proofErr w:type="spellStart"/>
      <w:r w:rsidRPr="00B557F0">
        <w:rPr>
          <w:rFonts w:cstheme="minorHAnsi"/>
          <w:lang w:val="es-ES"/>
        </w:rPr>
        <w:t>Siliker</w:t>
      </w:r>
      <w:proofErr w:type="spellEnd"/>
      <w:r w:rsidRPr="00B557F0">
        <w:rPr>
          <w:rFonts w:cstheme="minorHAnsi"/>
          <w:lang w:val="es-ES"/>
        </w:rPr>
        <w:t>.</w:t>
      </w:r>
    </w:p>
    <w:p w14:paraId="4361280E" w14:textId="1AD675AF" w:rsidR="00F34300" w:rsidRDefault="00F34300" w:rsidP="00335A87">
      <w:pPr>
        <w:pBdr>
          <w:bottom w:val="single" w:sz="4" w:space="4" w:color="5A7A35"/>
        </w:pBdr>
        <w:spacing w:before="200" w:after="100"/>
        <w:jc w:val="both"/>
        <w:rPr>
          <w:rFonts w:ascii="Calibri" w:hAnsi="Calibri" w:cs="Calibri"/>
        </w:rPr>
      </w:pPr>
      <w:r>
        <w:rPr>
          <w:rFonts w:cstheme="minorHAnsi"/>
          <w:b/>
          <w:bCs/>
          <w:sz w:val="20"/>
          <w:szCs w:val="20"/>
        </w:rPr>
        <w:t>S</w:t>
      </w:r>
      <w:r w:rsidR="00AC7E05" w:rsidRPr="00834F0E">
        <w:rPr>
          <w:rFonts w:cstheme="minorHAnsi"/>
          <w:b/>
          <w:bCs/>
          <w:sz w:val="20"/>
          <w:szCs w:val="20"/>
        </w:rPr>
        <w:t>obre el OOWC:</w:t>
      </w:r>
    </w:p>
    <w:p w14:paraId="37912B57" w14:textId="71013BF2" w:rsidR="00ED1B60" w:rsidRDefault="00335A87" w:rsidP="00335A87">
      <w:pPr>
        <w:pBdr>
          <w:bottom w:val="single" w:sz="4" w:space="4" w:color="5A7A35"/>
        </w:pBdr>
        <w:spacing w:before="200" w:after="100"/>
        <w:jc w:val="both"/>
      </w:pPr>
      <w:r w:rsidRPr="00834F0E">
        <w:rPr>
          <w:rFonts w:eastAsia="Times New Roman" w:cstheme="minorHAnsi"/>
          <w:color w:val="333333"/>
          <w:sz w:val="20"/>
          <w:szCs w:val="20"/>
          <w:lang w:eastAsia="es-ES_tradnl"/>
        </w:rPr>
        <w:t>El </w:t>
      </w:r>
      <w:r w:rsidRPr="00834F0E">
        <w:rPr>
          <w:rFonts w:eastAsia="Times New Roman" w:cstheme="minorHAnsi"/>
          <w:b/>
          <w:bCs/>
          <w:color w:val="333333"/>
          <w:sz w:val="20"/>
          <w:szCs w:val="20"/>
          <w:lang w:eastAsia="es-ES_tradnl"/>
        </w:rPr>
        <w:t>Congreso Mundial del Aceite de Oliva</w:t>
      </w:r>
      <w:r w:rsidRPr="00834F0E">
        <w:rPr>
          <w:rFonts w:eastAsia="Times New Roman" w:cstheme="minorHAnsi"/>
          <w:color w:val="333333"/>
          <w:sz w:val="20"/>
          <w:szCs w:val="20"/>
          <w:lang w:eastAsia="es-ES_tradnl"/>
        </w:rPr>
        <w:t xml:space="preserve"> es un evento que </w:t>
      </w:r>
      <w:r>
        <w:rPr>
          <w:rFonts w:eastAsia="Times New Roman" w:cstheme="minorHAnsi"/>
          <w:color w:val="333333"/>
          <w:sz w:val="20"/>
          <w:szCs w:val="20"/>
          <w:lang w:eastAsia="es-ES_tradnl"/>
        </w:rPr>
        <w:t>reúne</w:t>
      </w:r>
      <w:r w:rsidRPr="00834F0E">
        <w:rPr>
          <w:rFonts w:eastAsia="Times New Roman" w:cstheme="minorHAnsi"/>
          <w:color w:val="333333"/>
          <w:sz w:val="20"/>
          <w:szCs w:val="20"/>
          <w:lang w:eastAsia="es-ES_tradnl"/>
        </w:rPr>
        <w:t xml:space="preserve"> a los principales ponentes a nivel mundial en cada materia, generando conocimiento sobre las novedades e innovaciones existentes en cada eslabón de la cadena de valor. </w:t>
      </w:r>
      <w:r>
        <w:rPr>
          <w:rFonts w:eastAsia="Times New Roman" w:cstheme="minorHAnsi"/>
          <w:color w:val="333333"/>
          <w:sz w:val="20"/>
          <w:szCs w:val="20"/>
          <w:lang w:eastAsia="es-ES_tradnl"/>
        </w:rPr>
        <w:t>O</w:t>
      </w:r>
      <w:r w:rsidRPr="00834F0E">
        <w:rPr>
          <w:rFonts w:eastAsia="Times New Roman" w:cstheme="minorHAnsi"/>
          <w:color w:val="333333"/>
          <w:sz w:val="20"/>
          <w:szCs w:val="20"/>
          <w:lang w:eastAsia="es-ES_tradnl"/>
        </w:rPr>
        <w:t>peradores del sector a nivel mundial</w:t>
      </w:r>
      <w:r>
        <w:rPr>
          <w:rFonts w:eastAsia="Times New Roman" w:cstheme="minorHAnsi"/>
          <w:color w:val="333333"/>
          <w:sz w:val="20"/>
          <w:szCs w:val="20"/>
          <w:lang w:eastAsia="es-ES_tradnl"/>
        </w:rPr>
        <w:t xml:space="preserve"> se darán cita en Lisboa</w:t>
      </w:r>
      <w:r w:rsidRPr="00834F0E">
        <w:rPr>
          <w:rFonts w:eastAsia="Times New Roman" w:cstheme="minorHAnsi"/>
          <w:color w:val="333333"/>
          <w:sz w:val="20"/>
          <w:szCs w:val="20"/>
          <w:lang w:eastAsia="es-ES_tradnl"/>
        </w:rPr>
        <w:t xml:space="preserve"> con el objetivo de aunar voluntades para seguir trabajando todos de forma conjunta. </w:t>
      </w:r>
      <w:r w:rsidRPr="00834F0E">
        <w:rPr>
          <w:sz w:val="20"/>
          <w:szCs w:val="20"/>
        </w:rPr>
        <w:t xml:space="preserve">Más información en: </w:t>
      </w:r>
      <w:hyperlink r:id="rId7" w:history="1">
        <w:r w:rsidRPr="0004128B">
          <w:rPr>
            <w:rStyle w:val="Hipervnculo"/>
            <w:sz w:val="20"/>
            <w:szCs w:val="20"/>
          </w:rPr>
          <w:t>www.oliveoilworldcongress.com</w:t>
        </w:r>
      </w:hyperlink>
      <w:r>
        <w:rPr>
          <w:sz w:val="20"/>
          <w:szCs w:val="20"/>
        </w:rPr>
        <w:t>.</w:t>
      </w:r>
    </w:p>
    <w:sectPr w:rsidR="00ED1B60" w:rsidSect="0048397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BD97" w14:textId="77777777" w:rsidR="006C6DA1" w:rsidRDefault="006C6DA1" w:rsidP="00E83E50">
      <w:pPr>
        <w:spacing w:after="0" w:line="240" w:lineRule="auto"/>
      </w:pPr>
      <w:r>
        <w:separator/>
      </w:r>
    </w:p>
  </w:endnote>
  <w:endnote w:type="continuationSeparator" w:id="0">
    <w:p w14:paraId="36ADF41A" w14:textId="77777777" w:rsidR="006C6DA1" w:rsidRDefault="006C6DA1" w:rsidP="00E8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A08A" w14:textId="244D6A87" w:rsidR="0069392A" w:rsidRDefault="0087784B">
    <w:pPr>
      <w:pStyle w:val="Piedepgina"/>
    </w:pPr>
    <w:r w:rsidRPr="00EF4CF9">
      <w:rPr>
        <w:noProof/>
        <w:sz w:val="18"/>
        <w:szCs w:val="18"/>
        <w:lang w:val="es-ES" w:eastAsia="es-ES"/>
      </w:rPr>
      <w:drawing>
        <wp:anchor distT="0" distB="0" distL="114300" distR="114300" simplePos="0" relativeHeight="251659264" behindDoc="0" locked="0" layoutInCell="1" allowOverlap="1" wp14:anchorId="29AA2D09" wp14:editId="3F0E76CB">
          <wp:simplePos x="0" y="0"/>
          <wp:positionH relativeFrom="margin">
            <wp:posOffset>-657860</wp:posOffset>
          </wp:positionH>
          <wp:positionV relativeFrom="margin">
            <wp:posOffset>7716578</wp:posOffset>
          </wp:positionV>
          <wp:extent cx="1000760" cy="541655"/>
          <wp:effectExtent l="0" t="0" r="0" b="0"/>
          <wp:wrapSquare wrapText="bothSides"/>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p>
  <w:p w14:paraId="1EAC9EC2" w14:textId="48FC8473" w:rsidR="0069392A" w:rsidRPr="00F34300" w:rsidRDefault="00800DA8" w:rsidP="0087784B">
    <w:pPr>
      <w:jc w:val="center"/>
      <w:rPr>
        <w:lang w:val="es-ES"/>
      </w:rPr>
    </w:pPr>
    <w:r w:rsidRPr="00EF4CF9">
      <w:rPr>
        <w:noProof/>
        <w:sz w:val="18"/>
        <w:szCs w:val="18"/>
        <w:lang w:val="es-ES" w:eastAsia="es-ES"/>
      </w:rPr>
      <w:drawing>
        <wp:anchor distT="0" distB="0" distL="114300" distR="114300" simplePos="0" relativeHeight="251664384" behindDoc="0" locked="0" layoutInCell="1" allowOverlap="1" wp14:anchorId="72E7B64A" wp14:editId="76AD5B5C">
          <wp:simplePos x="0" y="0"/>
          <wp:positionH relativeFrom="margin">
            <wp:posOffset>5149850</wp:posOffset>
          </wp:positionH>
          <wp:positionV relativeFrom="margin">
            <wp:posOffset>7730490</wp:posOffset>
          </wp:positionV>
          <wp:extent cx="1000760" cy="541655"/>
          <wp:effectExtent l="0" t="0" r="0" b="0"/>
          <wp:wrapSquare wrapText="bothSides"/>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0087784B" w:rsidRPr="0087784B">
      <w:rPr>
        <w:noProof/>
        <w:sz w:val="18"/>
        <w:szCs w:val="18"/>
        <w:lang w:val="es-ES" w:eastAsia="es-ES"/>
      </w:rPr>
      <w:drawing>
        <wp:anchor distT="0" distB="0" distL="114300" distR="114300" simplePos="0" relativeHeight="251662336" behindDoc="0" locked="0" layoutInCell="1" allowOverlap="1" wp14:anchorId="14FFFE53" wp14:editId="3BCC734B">
          <wp:simplePos x="0" y="0"/>
          <wp:positionH relativeFrom="margin">
            <wp:posOffset>5189220</wp:posOffset>
          </wp:positionH>
          <wp:positionV relativeFrom="margin">
            <wp:posOffset>8891270</wp:posOffset>
          </wp:positionV>
          <wp:extent cx="1000760" cy="541655"/>
          <wp:effectExtent l="0" t="0" r="0" b="0"/>
          <wp:wrapSquare wrapText="bothSides"/>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0087784B" w:rsidRPr="0087784B">
      <w:rPr>
        <w:noProof/>
        <w:sz w:val="18"/>
        <w:szCs w:val="18"/>
        <w:lang w:val="es-ES" w:eastAsia="es-ES"/>
      </w:rPr>
      <w:drawing>
        <wp:anchor distT="0" distB="0" distL="114300" distR="114300" simplePos="0" relativeHeight="251661312" behindDoc="0" locked="0" layoutInCell="1" allowOverlap="1" wp14:anchorId="2D6FE67B" wp14:editId="38E9B52E">
          <wp:simplePos x="0" y="0"/>
          <wp:positionH relativeFrom="margin">
            <wp:posOffset>-556260</wp:posOffset>
          </wp:positionH>
          <wp:positionV relativeFrom="margin">
            <wp:posOffset>8891270</wp:posOffset>
          </wp:positionV>
          <wp:extent cx="1000760" cy="541655"/>
          <wp:effectExtent l="0" t="0" r="0" b="0"/>
          <wp:wrapSquare wrapText="bothSides"/>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004D5485" w:rsidRPr="004D5485">
      <w:rPr>
        <w:noProof/>
        <w:sz w:val="18"/>
        <w:szCs w:val="18"/>
        <w:lang w:val="es-ES" w:eastAsia="es-ES"/>
      </w:rPr>
      <w:t>Depa</w:t>
    </w:r>
    <w:r w:rsidR="004D5485" w:rsidRPr="00F34300">
      <w:rPr>
        <w:noProof/>
        <w:sz w:val="18"/>
        <w:szCs w:val="18"/>
        <w:lang w:val="es-ES" w:eastAsia="es-ES"/>
      </w:rPr>
      <w:t>rtamento de Prensa</w:t>
    </w:r>
    <w:r w:rsidR="00846C08" w:rsidRPr="00F34300">
      <w:rPr>
        <w:rFonts w:ascii="Calibri" w:eastAsia="Calibri" w:hAnsi="Calibri" w:cs="Calibri"/>
        <w:b/>
        <w:bCs/>
        <w:kern w:val="36"/>
        <w:sz w:val="20"/>
        <w:szCs w:val="20"/>
        <w:lang w:val="es-ES" w:eastAsia="es-ES_tradnl"/>
      </w:rPr>
      <w:t xml:space="preserve"> del Olive </w:t>
    </w:r>
    <w:proofErr w:type="spellStart"/>
    <w:r w:rsidR="00846C08" w:rsidRPr="00F34300">
      <w:rPr>
        <w:rFonts w:ascii="Calibri" w:eastAsia="Calibri" w:hAnsi="Calibri" w:cs="Calibri"/>
        <w:b/>
        <w:bCs/>
        <w:kern w:val="36"/>
        <w:sz w:val="20"/>
        <w:szCs w:val="20"/>
        <w:lang w:val="es-ES" w:eastAsia="es-ES_tradnl"/>
      </w:rPr>
      <w:t>Oil</w:t>
    </w:r>
    <w:proofErr w:type="spellEnd"/>
    <w:r w:rsidR="00846C08" w:rsidRPr="00F34300">
      <w:rPr>
        <w:rFonts w:ascii="Calibri" w:eastAsia="Calibri" w:hAnsi="Calibri" w:cs="Calibri"/>
        <w:b/>
        <w:bCs/>
        <w:kern w:val="36"/>
        <w:sz w:val="20"/>
        <w:szCs w:val="20"/>
        <w:lang w:val="es-ES" w:eastAsia="es-ES_tradnl"/>
      </w:rPr>
      <w:t xml:space="preserve"> World Congress</w:t>
    </w:r>
    <w:r w:rsidR="0087784B" w:rsidRPr="00F34300">
      <w:rPr>
        <w:rFonts w:ascii="Calibri" w:eastAsia="Calibri" w:hAnsi="Calibri" w:cs="Calibri"/>
        <w:bCs/>
        <w:kern w:val="36"/>
        <w:sz w:val="20"/>
        <w:szCs w:val="20"/>
        <w:lang w:val="es-ES" w:eastAsia="es-ES_tradnl"/>
      </w:rPr>
      <w:t xml:space="preserve">- 917217929 </w:t>
    </w:r>
    <w:hyperlink r:id="rId2" w:history="1">
      <w:r w:rsidR="0087784B" w:rsidRPr="00F34300">
        <w:rPr>
          <w:rFonts w:ascii="Calibri" w:eastAsia="Calibri" w:hAnsi="Calibri" w:cs="Calibri"/>
          <w:b/>
          <w:bCs/>
          <w:color w:val="0000FF"/>
          <w:kern w:val="36"/>
          <w:sz w:val="20"/>
          <w:szCs w:val="20"/>
          <w:u w:val="single"/>
          <w:lang w:val="es-ES" w:eastAsia="es-ES_tradnl"/>
        </w:rPr>
        <w:t>info@oliveoilwc.com</w:t>
      </w:r>
    </w:hyperlink>
    <w:r w:rsidR="00F34300">
      <w:rPr>
        <w:rFonts w:ascii="Calibri" w:eastAsia="Calibri" w:hAnsi="Calibri" w:cs="Calibri"/>
        <w:b/>
        <w:bCs/>
        <w:color w:val="0000FF"/>
        <w:kern w:val="36"/>
        <w:sz w:val="20"/>
        <w:szCs w:val="20"/>
        <w:u w:val="single"/>
        <w:lang w:eastAsia="es-ES_tradnl"/>
      </w:rPr>
      <w:t xml:space="preserve"> </w:t>
    </w:r>
    <w:hyperlink r:id="rId3" w:history="1">
      <w:r w:rsidR="00F34300" w:rsidRPr="004B5C79">
        <w:rPr>
          <w:rStyle w:val="Hipervnculo"/>
          <w:sz w:val="20"/>
          <w:szCs w:val="20"/>
          <w:lang w:val="es-ES"/>
        </w:rPr>
        <w:t>www.oliveoilworldcongress.com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49CB" w14:textId="77777777" w:rsidR="006C6DA1" w:rsidRDefault="006C6DA1" w:rsidP="00E83E50">
      <w:pPr>
        <w:spacing w:after="0" w:line="240" w:lineRule="auto"/>
      </w:pPr>
      <w:r>
        <w:separator/>
      </w:r>
    </w:p>
  </w:footnote>
  <w:footnote w:type="continuationSeparator" w:id="0">
    <w:p w14:paraId="097064C9" w14:textId="77777777" w:rsidR="006C6DA1" w:rsidRDefault="006C6DA1" w:rsidP="00E83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EDAC" w14:textId="77777777" w:rsidR="00E83E50" w:rsidRDefault="00E83E50" w:rsidP="00E83E50">
    <w:pPr>
      <w:pStyle w:val="Encabezado"/>
      <w:jc w:val="center"/>
    </w:pPr>
    <w:r>
      <w:rPr>
        <w:noProof/>
        <w:lang w:val="es-ES" w:eastAsia="es-ES"/>
      </w:rPr>
      <w:drawing>
        <wp:inline distT="0" distB="0" distL="0" distR="0" wp14:anchorId="5B578286" wp14:editId="47372599">
          <wp:extent cx="2702560" cy="1463463"/>
          <wp:effectExtent l="0" t="0" r="2540" b="3810"/>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709938" cy="1467458"/>
                  </a:xfrm>
                  <a:prstGeom prst="rect">
                    <a:avLst/>
                  </a:prstGeom>
                </pic:spPr>
              </pic:pic>
            </a:graphicData>
          </a:graphic>
        </wp:inline>
      </w:drawing>
    </w:r>
  </w:p>
  <w:p w14:paraId="69C8B221" w14:textId="77777777" w:rsidR="00E83E50" w:rsidRDefault="00E83E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10A"/>
    <w:multiLevelType w:val="multilevel"/>
    <w:tmpl w:val="A878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74726"/>
    <w:multiLevelType w:val="hybridMultilevel"/>
    <w:tmpl w:val="FB70B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6E1F0F"/>
    <w:multiLevelType w:val="multilevel"/>
    <w:tmpl w:val="4E4C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C57CF"/>
    <w:multiLevelType w:val="hybridMultilevel"/>
    <w:tmpl w:val="C18A6D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B38397D"/>
    <w:multiLevelType w:val="hybridMultilevel"/>
    <w:tmpl w:val="FF2034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8C0406"/>
    <w:multiLevelType w:val="hybridMultilevel"/>
    <w:tmpl w:val="E5AA5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90944A8"/>
    <w:multiLevelType w:val="hybridMultilevel"/>
    <w:tmpl w:val="103AC052"/>
    <w:lvl w:ilvl="0" w:tplc="012895E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1D95594"/>
    <w:multiLevelType w:val="hybridMultilevel"/>
    <w:tmpl w:val="CE8AFBDE"/>
    <w:lvl w:ilvl="0" w:tplc="012895E6">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2667237"/>
    <w:multiLevelType w:val="hybridMultilevel"/>
    <w:tmpl w:val="9CECA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A57C09"/>
    <w:multiLevelType w:val="hybridMultilevel"/>
    <w:tmpl w:val="7CE26B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CE6644B"/>
    <w:multiLevelType w:val="multilevel"/>
    <w:tmpl w:val="9A149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4D2A94"/>
    <w:multiLevelType w:val="hybridMultilevel"/>
    <w:tmpl w:val="3EB4D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4143F6B"/>
    <w:multiLevelType w:val="hybridMultilevel"/>
    <w:tmpl w:val="33DCF1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B0D5087"/>
    <w:multiLevelType w:val="hybridMultilevel"/>
    <w:tmpl w:val="A3F6C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C0C0DFB"/>
    <w:multiLevelType w:val="hybridMultilevel"/>
    <w:tmpl w:val="725250D0"/>
    <w:lvl w:ilvl="0" w:tplc="C9F8D76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1BD589A"/>
    <w:multiLevelType w:val="hybridMultilevel"/>
    <w:tmpl w:val="A66ABD5A"/>
    <w:lvl w:ilvl="0" w:tplc="FFFFFFFF">
      <w:start w:val="1"/>
      <w:numFmt w:val="bullet"/>
      <w:lvlText w:val="•"/>
      <w:lvlJc w:val="left"/>
    </w:lvl>
    <w:lvl w:ilvl="1" w:tplc="012895E6">
      <w:numFmt w:val="bullet"/>
      <w:lvlText w:val="-"/>
      <w:lvlJc w:val="left"/>
      <w:pPr>
        <w:ind w:left="360" w:hanging="360"/>
      </w:pPr>
      <w:rPr>
        <w:rFonts w:ascii="Calibri" w:eastAsia="Times New Roman" w:hAnsi="Calibr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83A4D82"/>
    <w:multiLevelType w:val="hybridMultilevel"/>
    <w:tmpl w:val="981AC906"/>
    <w:lvl w:ilvl="0" w:tplc="5F6C08D0">
      <w:start w:val="1"/>
      <w:numFmt w:val="bullet"/>
      <w:lvlText w:val="–"/>
      <w:lvlJc w:val="left"/>
      <w:pPr>
        <w:ind w:left="540" w:hanging="360"/>
      </w:pPr>
    </w:lvl>
    <w:lvl w:ilvl="1" w:tplc="91D04A4A">
      <w:numFmt w:val="decimal"/>
      <w:lvlText w:val=""/>
      <w:lvlJc w:val="left"/>
    </w:lvl>
    <w:lvl w:ilvl="2" w:tplc="81D0AE26">
      <w:numFmt w:val="decimal"/>
      <w:lvlText w:val=""/>
      <w:lvlJc w:val="left"/>
    </w:lvl>
    <w:lvl w:ilvl="3" w:tplc="7C147E10">
      <w:numFmt w:val="decimal"/>
      <w:lvlText w:val=""/>
      <w:lvlJc w:val="left"/>
    </w:lvl>
    <w:lvl w:ilvl="4" w:tplc="ACB2DF1A">
      <w:numFmt w:val="decimal"/>
      <w:lvlText w:val=""/>
      <w:lvlJc w:val="left"/>
    </w:lvl>
    <w:lvl w:ilvl="5" w:tplc="74C0461A">
      <w:numFmt w:val="decimal"/>
      <w:lvlText w:val=""/>
      <w:lvlJc w:val="left"/>
    </w:lvl>
    <w:lvl w:ilvl="6" w:tplc="AF861A0A">
      <w:numFmt w:val="decimal"/>
      <w:lvlText w:val=""/>
      <w:lvlJc w:val="left"/>
    </w:lvl>
    <w:lvl w:ilvl="7" w:tplc="4036C434">
      <w:numFmt w:val="decimal"/>
      <w:lvlText w:val=""/>
      <w:lvlJc w:val="left"/>
    </w:lvl>
    <w:lvl w:ilvl="8" w:tplc="B8D8E3E4">
      <w:numFmt w:val="decimal"/>
      <w:lvlText w:val=""/>
      <w:lvlJc w:val="left"/>
    </w:lvl>
  </w:abstractNum>
  <w:abstractNum w:abstractNumId="17" w15:restartNumberingAfterBreak="0">
    <w:nsid w:val="6CFC3CAF"/>
    <w:multiLevelType w:val="hybridMultilevel"/>
    <w:tmpl w:val="7398F9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FB71CE3"/>
    <w:multiLevelType w:val="hybridMultilevel"/>
    <w:tmpl w:val="BF7217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50289303">
    <w:abstractNumId w:val="0"/>
  </w:num>
  <w:num w:numId="2" w16cid:durableId="2018532764">
    <w:abstractNumId w:val="2"/>
  </w:num>
  <w:num w:numId="3" w16cid:durableId="1771655131">
    <w:abstractNumId w:val="15"/>
  </w:num>
  <w:num w:numId="4" w16cid:durableId="752625599">
    <w:abstractNumId w:val="6"/>
  </w:num>
  <w:num w:numId="5" w16cid:durableId="1676418178">
    <w:abstractNumId w:val="7"/>
  </w:num>
  <w:num w:numId="6" w16cid:durableId="222914805">
    <w:abstractNumId w:val="11"/>
  </w:num>
  <w:num w:numId="7" w16cid:durableId="1286278406">
    <w:abstractNumId w:val="14"/>
  </w:num>
  <w:num w:numId="8" w16cid:durableId="411437936">
    <w:abstractNumId w:val="13"/>
  </w:num>
  <w:num w:numId="9" w16cid:durableId="2141144222">
    <w:abstractNumId w:val="1"/>
  </w:num>
  <w:num w:numId="10" w16cid:durableId="2362483">
    <w:abstractNumId w:val="8"/>
  </w:num>
  <w:num w:numId="11" w16cid:durableId="613755865">
    <w:abstractNumId w:val="5"/>
  </w:num>
  <w:num w:numId="12" w16cid:durableId="1364356617">
    <w:abstractNumId w:val="12"/>
  </w:num>
  <w:num w:numId="13" w16cid:durableId="90516441">
    <w:abstractNumId w:val="17"/>
  </w:num>
  <w:num w:numId="14" w16cid:durableId="610937802">
    <w:abstractNumId w:val="3"/>
  </w:num>
  <w:num w:numId="15" w16cid:durableId="1947929703">
    <w:abstractNumId w:val="18"/>
  </w:num>
  <w:num w:numId="16" w16cid:durableId="715541145">
    <w:abstractNumId w:val="4"/>
  </w:num>
  <w:num w:numId="17" w16cid:durableId="1679694787">
    <w:abstractNumId w:val="10"/>
  </w:num>
  <w:num w:numId="18" w16cid:durableId="1333606915">
    <w:abstractNumId w:val="16"/>
    <w:lvlOverride w:ilvl="0">
      <w:startOverride w:val="1"/>
    </w:lvlOverride>
  </w:num>
  <w:num w:numId="19" w16cid:durableId="3617878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42"/>
    <w:rsid w:val="00005EB0"/>
    <w:rsid w:val="00006A78"/>
    <w:rsid w:val="000132DE"/>
    <w:rsid w:val="00013B8C"/>
    <w:rsid w:val="00014AFE"/>
    <w:rsid w:val="00015C53"/>
    <w:rsid w:val="0001766B"/>
    <w:rsid w:val="0002057D"/>
    <w:rsid w:val="00021830"/>
    <w:rsid w:val="0002287D"/>
    <w:rsid w:val="00031325"/>
    <w:rsid w:val="0003212E"/>
    <w:rsid w:val="00041056"/>
    <w:rsid w:val="0004236C"/>
    <w:rsid w:val="00042380"/>
    <w:rsid w:val="000441A9"/>
    <w:rsid w:val="00051A4C"/>
    <w:rsid w:val="000529D1"/>
    <w:rsid w:val="00052BD8"/>
    <w:rsid w:val="00053227"/>
    <w:rsid w:val="000534F5"/>
    <w:rsid w:val="0006277D"/>
    <w:rsid w:val="00065D16"/>
    <w:rsid w:val="00067262"/>
    <w:rsid w:val="00070321"/>
    <w:rsid w:val="0007450C"/>
    <w:rsid w:val="00075058"/>
    <w:rsid w:val="00075CB9"/>
    <w:rsid w:val="000761AD"/>
    <w:rsid w:val="000774C6"/>
    <w:rsid w:val="0008062E"/>
    <w:rsid w:val="00082A96"/>
    <w:rsid w:val="0008404D"/>
    <w:rsid w:val="000871F5"/>
    <w:rsid w:val="000900C2"/>
    <w:rsid w:val="00090C56"/>
    <w:rsid w:val="00093D24"/>
    <w:rsid w:val="000943DF"/>
    <w:rsid w:val="00094D3B"/>
    <w:rsid w:val="000A1A75"/>
    <w:rsid w:val="000A1B49"/>
    <w:rsid w:val="000B071B"/>
    <w:rsid w:val="000B3546"/>
    <w:rsid w:val="000B36D6"/>
    <w:rsid w:val="000B4B9A"/>
    <w:rsid w:val="000B6521"/>
    <w:rsid w:val="000C0D5A"/>
    <w:rsid w:val="000C53C6"/>
    <w:rsid w:val="000E3BE4"/>
    <w:rsid w:val="000E41CC"/>
    <w:rsid w:val="000E7AFE"/>
    <w:rsid w:val="000F09C1"/>
    <w:rsid w:val="000F3436"/>
    <w:rsid w:val="000F4826"/>
    <w:rsid w:val="000F57EC"/>
    <w:rsid w:val="00100A72"/>
    <w:rsid w:val="00102B40"/>
    <w:rsid w:val="00117186"/>
    <w:rsid w:val="0012136E"/>
    <w:rsid w:val="001259C4"/>
    <w:rsid w:val="00127A74"/>
    <w:rsid w:val="00131EF2"/>
    <w:rsid w:val="00132F86"/>
    <w:rsid w:val="00147A26"/>
    <w:rsid w:val="00161330"/>
    <w:rsid w:val="00161DB7"/>
    <w:rsid w:val="0016297D"/>
    <w:rsid w:val="001642AB"/>
    <w:rsid w:val="001679A1"/>
    <w:rsid w:val="001730F9"/>
    <w:rsid w:val="00183454"/>
    <w:rsid w:val="0019401B"/>
    <w:rsid w:val="001A0B0B"/>
    <w:rsid w:val="001B0B6C"/>
    <w:rsid w:val="001B1596"/>
    <w:rsid w:val="001B1B4B"/>
    <w:rsid w:val="001B3265"/>
    <w:rsid w:val="001B33CD"/>
    <w:rsid w:val="001D3A5B"/>
    <w:rsid w:val="001D6000"/>
    <w:rsid w:val="001D7236"/>
    <w:rsid w:val="001D783B"/>
    <w:rsid w:val="001D7C94"/>
    <w:rsid w:val="001E2C05"/>
    <w:rsid w:val="001E3D2E"/>
    <w:rsid w:val="001E5941"/>
    <w:rsid w:val="001F07C9"/>
    <w:rsid w:val="001F46B5"/>
    <w:rsid w:val="001F5128"/>
    <w:rsid w:val="00204504"/>
    <w:rsid w:val="00205295"/>
    <w:rsid w:val="00205D92"/>
    <w:rsid w:val="00207889"/>
    <w:rsid w:val="00210FF9"/>
    <w:rsid w:val="002125B4"/>
    <w:rsid w:val="00212BA6"/>
    <w:rsid w:val="002132C7"/>
    <w:rsid w:val="00223FEF"/>
    <w:rsid w:val="00226D13"/>
    <w:rsid w:val="00227A25"/>
    <w:rsid w:val="00236CFD"/>
    <w:rsid w:val="002371BB"/>
    <w:rsid w:val="00237D0F"/>
    <w:rsid w:val="002435E0"/>
    <w:rsid w:val="002442D0"/>
    <w:rsid w:val="00244631"/>
    <w:rsid w:val="0025154F"/>
    <w:rsid w:val="002519EF"/>
    <w:rsid w:val="00252B17"/>
    <w:rsid w:val="00256411"/>
    <w:rsid w:val="002671C3"/>
    <w:rsid w:val="0026779E"/>
    <w:rsid w:val="00271D80"/>
    <w:rsid w:val="002737F7"/>
    <w:rsid w:val="002743A6"/>
    <w:rsid w:val="00274C6B"/>
    <w:rsid w:val="00275C63"/>
    <w:rsid w:val="002779EA"/>
    <w:rsid w:val="00280EC9"/>
    <w:rsid w:val="00283D1F"/>
    <w:rsid w:val="00284AE7"/>
    <w:rsid w:val="00286536"/>
    <w:rsid w:val="002871CA"/>
    <w:rsid w:val="00287D4E"/>
    <w:rsid w:val="00290877"/>
    <w:rsid w:val="00291EC9"/>
    <w:rsid w:val="002929CC"/>
    <w:rsid w:val="00295AE6"/>
    <w:rsid w:val="002A262E"/>
    <w:rsid w:val="002A3B90"/>
    <w:rsid w:val="002A4A0F"/>
    <w:rsid w:val="002B1B7B"/>
    <w:rsid w:val="002C48D2"/>
    <w:rsid w:val="002D0649"/>
    <w:rsid w:val="002D6E39"/>
    <w:rsid w:val="002D70D6"/>
    <w:rsid w:val="002E20E5"/>
    <w:rsid w:val="002E5B72"/>
    <w:rsid w:val="002E5D25"/>
    <w:rsid w:val="002E632C"/>
    <w:rsid w:val="002E6828"/>
    <w:rsid w:val="002F0ADC"/>
    <w:rsid w:val="002F7EE3"/>
    <w:rsid w:val="003005E9"/>
    <w:rsid w:val="003008D2"/>
    <w:rsid w:val="00305E84"/>
    <w:rsid w:val="003064DE"/>
    <w:rsid w:val="0030750C"/>
    <w:rsid w:val="00313A2B"/>
    <w:rsid w:val="00315CC5"/>
    <w:rsid w:val="003172B0"/>
    <w:rsid w:val="003202A5"/>
    <w:rsid w:val="003215B7"/>
    <w:rsid w:val="003335A7"/>
    <w:rsid w:val="00333DDF"/>
    <w:rsid w:val="00335A87"/>
    <w:rsid w:val="003434A0"/>
    <w:rsid w:val="00344F43"/>
    <w:rsid w:val="00345950"/>
    <w:rsid w:val="00345BB3"/>
    <w:rsid w:val="00350FC1"/>
    <w:rsid w:val="003540CA"/>
    <w:rsid w:val="00354AB2"/>
    <w:rsid w:val="00363EF3"/>
    <w:rsid w:val="00364427"/>
    <w:rsid w:val="00370E47"/>
    <w:rsid w:val="003735A8"/>
    <w:rsid w:val="00387386"/>
    <w:rsid w:val="00394F40"/>
    <w:rsid w:val="00396DE6"/>
    <w:rsid w:val="0039736B"/>
    <w:rsid w:val="003A03B0"/>
    <w:rsid w:val="003A38A8"/>
    <w:rsid w:val="003A6A76"/>
    <w:rsid w:val="003A765F"/>
    <w:rsid w:val="003B02B8"/>
    <w:rsid w:val="003B3D1E"/>
    <w:rsid w:val="003B6F10"/>
    <w:rsid w:val="003B7B41"/>
    <w:rsid w:val="003C0EA8"/>
    <w:rsid w:val="003D2F63"/>
    <w:rsid w:val="003E0A54"/>
    <w:rsid w:val="003E4234"/>
    <w:rsid w:val="003F25EE"/>
    <w:rsid w:val="003F443E"/>
    <w:rsid w:val="003F59A0"/>
    <w:rsid w:val="003F704A"/>
    <w:rsid w:val="00405B8C"/>
    <w:rsid w:val="0041138A"/>
    <w:rsid w:val="00411789"/>
    <w:rsid w:val="00411BDD"/>
    <w:rsid w:val="00415C11"/>
    <w:rsid w:val="00420B50"/>
    <w:rsid w:val="00422D19"/>
    <w:rsid w:val="0042466C"/>
    <w:rsid w:val="00425133"/>
    <w:rsid w:val="00426B77"/>
    <w:rsid w:val="00426F64"/>
    <w:rsid w:val="00432F15"/>
    <w:rsid w:val="00434260"/>
    <w:rsid w:val="004378C3"/>
    <w:rsid w:val="00437902"/>
    <w:rsid w:val="004458EA"/>
    <w:rsid w:val="004466C2"/>
    <w:rsid w:val="0045314D"/>
    <w:rsid w:val="0045450B"/>
    <w:rsid w:val="004568B3"/>
    <w:rsid w:val="00462EA9"/>
    <w:rsid w:val="00463065"/>
    <w:rsid w:val="00467D38"/>
    <w:rsid w:val="00472F9C"/>
    <w:rsid w:val="00482EA6"/>
    <w:rsid w:val="00483975"/>
    <w:rsid w:val="00484AF3"/>
    <w:rsid w:val="0048760E"/>
    <w:rsid w:val="00491164"/>
    <w:rsid w:val="004914EC"/>
    <w:rsid w:val="004931D0"/>
    <w:rsid w:val="0049355F"/>
    <w:rsid w:val="00496756"/>
    <w:rsid w:val="004A07FF"/>
    <w:rsid w:val="004A1E96"/>
    <w:rsid w:val="004A21F4"/>
    <w:rsid w:val="004A4821"/>
    <w:rsid w:val="004A5664"/>
    <w:rsid w:val="004A6319"/>
    <w:rsid w:val="004B062F"/>
    <w:rsid w:val="004B2B82"/>
    <w:rsid w:val="004B2C57"/>
    <w:rsid w:val="004B314C"/>
    <w:rsid w:val="004B31BF"/>
    <w:rsid w:val="004B7854"/>
    <w:rsid w:val="004C2BDE"/>
    <w:rsid w:val="004D2EAA"/>
    <w:rsid w:val="004D5485"/>
    <w:rsid w:val="004D5B22"/>
    <w:rsid w:val="004E198B"/>
    <w:rsid w:val="004E2AA9"/>
    <w:rsid w:val="004E4A2E"/>
    <w:rsid w:val="00501F4A"/>
    <w:rsid w:val="00502139"/>
    <w:rsid w:val="0050462B"/>
    <w:rsid w:val="00504C18"/>
    <w:rsid w:val="005057B4"/>
    <w:rsid w:val="005067A1"/>
    <w:rsid w:val="00510EDC"/>
    <w:rsid w:val="00511EB3"/>
    <w:rsid w:val="0051216C"/>
    <w:rsid w:val="00512F04"/>
    <w:rsid w:val="005149A6"/>
    <w:rsid w:val="00514CD1"/>
    <w:rsid w:val="00516074"/>
    <w:rsid w:val="00517286"/>
    <w:rsid w:val="005223EC"/>
    <w:rsid w:val="00527669"/>
    <w:rsid w:val="00532670"/>
    <w:rsid w:val="00533C55"/>
    <w:rsid w:val="00537138"/>
    <w:rsid w:val="005401EA"/>
    <w:rsid w:val="00542BAB"/>
    <w:rsid w:val="005452A8"/>
    <w:rsid w:val="00551B2A"/>
    <w:rsid w:val="00554271"/>
    <w:rsid w:val="005651D7"/>
    <w:rsid w:val="005663AE"/>
    <w:rsid w:val="005707CC"/>
    <w:rsid w:val="0057346A"/>
    <w:rsid w:val="00574499"/>
    <w:rsid w:val="00574FC7"/>
    <w:rsid w:val="00591AE9"/>
    <w:rsid w:val="00594212"/>
    <w:rsid w:val="005A3A9E"/>
    <w:rsid w:val="005A70A0"/>
    <w:rsid w:val="005C094B"/>
    <w:rsid w:val="005C1F82"/>
    <w:rsid w:val="005C2A1D"/>
    <w:rsid w:val="005C3CAF"/>
    <w:rsid w:val="005C71D1"/>
    <w:rsid w:val="005C76DD"/>
    <w:rsid w:val="005D73B9"/>
    <w:rsid w:val="005E17FC"/>
    <w:rsid w:val="005E5C63"/>
    <w:rsid w:val="005F0CC2"/>
    <w:rsid w:val="005F1564"/>
    <w:rsid w:val="005F75AD"/>
    <w:rsid w:val="00603D3A"/>
    <w:rsid w:val="00606125"/>
    <w:rsid w:val="0060638E"/>
    <w:rsid w:val="006078C8"/>
    <w:rsid w:val="00607930"/>
    <w:rsid w:val="00607FDC"/>
    <w:rsid w:val="0062037B"/>
    <w:rsid w:val="00620542"/>
    <w:rsid w:val="00620567"/>
    <w:rsid w:val="006233F8"/>
    <w:rsid w:val="00630F01"/>
    <w:rsid w:val="006329F0"/>
    <w:rsid w:val="0063346A"/>
    <w:rsid w:val="0064253C"/>
    <w:rsid w:val="00643538"/>
    <w:rsid w:val="00644BCE"/>
    <w:rsid w:val="006479E5"/>
    <w:rsid w:val="00647B3D"/>
    <w:rsid w:val="00651CC6"/>
    <w:rsid w:val="006531E2"/>
    <w:rsid w:val="00654018"/>
    <w:rsid w:val="0066163A"/>
    <w:rsid w:val="006735C1"/>
    <w:rsid w:val="00674EED"/>
    <w:rsid w:val="0067511F"/>
    <w:rsid w:val="006751D5"/>
    <w:rsid w:val="006756A8"/>
    <w:rsid w:val="00682DD4"/>
    <w:rsid w:val="00683315"/>
    <w:rsid w:val="006844FB"/>
    <w:rsid w:val="00687654"/>
    <w:rsid w:val="0069392A"/>
    <w:rsid w:val="00693F02"/>
    <w:rsid w:val="0069409A"/>
    <w:rsid w:val="006957E2"/>
    <w:rsid w:val="00695914"/>
    <w:rsid w:val="006A0EEE"/>
    <w:rsid w:val="006A2274"/>
    <w:rsid w:val="006A2A31"/>
    <w:rsid w:val="006A7C6C"/>
    <w:rsid w:val="006B1AA6"/>
    <w:rsid w:val="006B33B3"/>
    <w:rsid w:val="006C2B9C"/>
    <w:rsid w:val="006C4211"/>
    <w:rsid w:val="006C563D"/>
    <w:rsid w:val="006C6DA1"/>
    <w:rsid w:val="006D022D"/>
    <w:rsid w:val="006D54C3"/>
    <w:rsid w:val="006D58F1"/>
    <w:rsid w:val="006E3BF7"/>
    <w:rsid w:val="006E6EC3"/>
    <w:rsid w:val="006F28FC"/>
    <w:rsid w:val="006F6175"/>
    <w:rsid w:val="00701ABA"/>
    <w:rsid w:val="00701C32"/>
    <w:rsid w:val="00702987"/>
    <w:rsid w:val="0070501E"/>
    <w:rsid w:val="00715978"/>
    <w:rsid w:val="0071737F"/>
    <w:rsid w:val="0072123A"/>
    <w:rsid w:val="00724669"/>
    <w:rsid w:val="00732634"/>
    <w:rsid w:val="00734AE0"/>
    <w:rsid w:val="00736951"/>
    <w:rsid w:val="00736E79"/>
    <w:rsid w:val="00736F81"/>
    <w:rsid w:val="00740509"/>
    <w:rsid w:val="007428A4"/>
    <w:rsid w:val="007474C6"/>
    <w:rsid w:val="00752F2A"/>
    <w:rsid w:val="00761226"/>
    <w:rsid w:val="0076579C"/>
    <w:rsid w:val="0076621A"/>
    <w:rsid w:val="00767194"/>
    <w:rsid w:val="00775ADD"/>
    <w:rsid w:val="00775F73"/>
    <w:rsid w:val="0077675C"/>
    <w:rsid w:val="00777B7E"/>
    <w:rsid w:val="00781D14"/>
    <w:rsid w:val="007826CC"/>
    <w:rsid w:val="00787BD1"/>
    <w:rsid w:val="00791465"/>
    <w:rsid w:val="00793036"/>
    <w:rsid w:val="007A602C"/>
    <w:rsid w:val="007A7469"/>
    <w:rsid w:val="007B254D"/>
    <w:rsid w:val="007B2969"/>
    <w:rsid w:val="007B3630"/>
    <w:rsid w:val="007C07E7"/>
    <w:rsid w:val="007C2223"/>
    <w:rsid w:val="007D1095"/>
    <w:rsid w:val="007E125A"/>
    <w:rsid w:val="007E41C2"/>
    <w:rsid w:val="007E4942"/>
    <w:rsid w:val="007F422E"/>
    <w:rsid w:val="007F5A6D"/>
    <w:rsid w:val="007F74AD"/>
    <w:rsid w:val="00800DA8"/>
    <w:rsid w:val="0080310A"/>
    <w:rsid w:val="00804C7B"/>
    <w:rsid w:val="00812019"/>
    <w:rsid w:val="00813079"/>
    <w:rsid w:val="008142BE"/>
    <w:rsid w:val="00822694"/>
    <w:rsid w:val="00822B06"/>
    <w:rsid w:val="00822F4D"/>
    <w:rsid w:val="00827249"/>
    <w:rsid w:val="0083209C"/>
    <w:rsid w:val="00832910"/>
    <w:rsid w:val="00832B76"/>
    <w:rsid w:val="00834F0E"/>
    <w:rsid w:val="00842793"/>
    <w:rsid w:val="00843F87"/>
    <w:rsid w:val="00846C08"/>
    <w:rsid w:val="00850DF6"/>
    <w:rsid w:val="00850E41"/>
    <w:rsid w:val="008530D8"/>
    <w:rsid w:val="0085718D"/>
    <w:rsid w:val="00860955"/>
    <w:rsid w:val="00871E40"/>
    <w:rsid w:val="00874782"/>
    <w:rsid w:val="00876251"/>
    <w:rsid w:val="0087784B"/>
    <w:rsid w:val="00881BEF"/>
    <w:rsid w:val="008850EC"/>
    <w:rsid w:val="008904EA"/>
    <w:rsid w:val="00892F2C"/>
    <w:rsid w:val="0089347D"/>
    <w:rsid w:val="00897354"/>
    <w:rsid w:val="008A1561"/>
    <w:rsid w:val="008A435D"/>
    <w:rsid w:val="008A539A"/>
    <w:rsid w:val="008A6905"/>
    <w:rsid w:val="008B6695"/>
    <w:rsid w:val="008B74D2"/>
    <w:rsid w:val="008D791F"/>
    <w:rsid w:val="008F004E"/>
    <w:rsid w:val="008F17C1"/>
    <w:rsid w:val="008F23D4"/>
    <w:rsid w:val="008F2D22"/>
    <w:rsid w:val="008F3A2B"/>
    <w:rsid w:val="008F3C26"/>
    <w:rsid w:val="008F5F79"/>
    <w:rsid w:val="008F62FF"/>
    <w:rsid w:val="008F67B5"/>
    <w:rsid w:val="009000B6"/>
    <w:rsid w:val="0090388E"/>
    <w:rsid w:val="00903C30"/>
    <w:rsid w:val="009140BC"/>
    <w:rsid w:val="0091624B"/>
    <w:rsid w:val="00921D52"/>
    <w:rsid w:val="00922757"/>
    <w:rsid w:val="00931BBB"/>
    <w:rsid w:val="009331B1"/>
    <w:rsid w:val="0093428E"/>
    <w:rsid w:val="00935D02"/>
    <w:rsid w:val="00937F2E"/>
    <w:rsid w:val="00943545"/>
    <w:rsid w:val="00950101"/>
    <w:rsid w:val="009509E2"/>
    <w:rsid w:val="00954F91"/>
    <w:rsid w:val="00956236"/>
    <w:rsid w:val="0096161B"/>
    <w:rsid w:val="00967344"/>
    <w:rsid w:val="0096771D"/>
    <w:rsid w:val="009706DE"/>
    <w:rsid w:val="00973300"/>
    <w:rsid w:val="0097389C"/>
    <w:rsid w:val="00977838"/>
    <w:rsid w:val="00977DBC"/>
    <w:rsid w:val="00982675"/>
    <w:rsid w:val="00982851"/>
    <w:rsid w:val="00982980"/>
    <w:rsid w:val="00982BA6"/>
    <w:rsid w:val="009831F6"/>
    <w:rsid w:val="00983495"/>
    <w:rsid w:val="00985430"/>
    <w:rsid w:val="00990A22"/>
    <w:rsid w:val="0099363E"/>
    <w:rsid w:val="00996248"/>
    <w:rsid w:val="009A40ED"/>
    <w:rsid w:val="009A65D2"/>
    <w:rsid w:val="009A6E6B"/>
    <w:rsid w:val="009B2218"/>
    <w:rsid w:val="009B227F"/>
    <w:rsid w:val="009B2422"/>
    <w:rsid w:val="009B4BB1"/>
    <w:rsid w:val="009B4BD9"/>
    <w:rsid w:val="009D0A3C"/>
    <w:rsid w:val="009D283F"/>
    <w:rsid w:val="009E526E"/>
    <w:rsid w:val="009E7951"/>
    <w:rsid w:val="009F2706"/>
    <w:rsid w:val="009F5705"/>
    <w:rsid w:val="00A017BB"/>
    <w:rsid w:val="00A017D2"/>
    <w:rsid w:val="00A0431C"/>
    <w:rsid w:val="00A13F02"/>
    <w:rsid w:val="00A208AE"/>
    <w:rsid w:val="00A22B6B"/>
    <w:rsid w:val="00A23EC3"/>
    <w:rsid w:val="00A25E54"/>
    <w:rsid w:val="00A26B6C"/>
    <w:rsid w:val="00A326FB"/>
    <w:rsid w:val="00A374AF"/>
    <w:rsid w:val="00A37D53"/>
    <w:rsid w:val="00A45B85"/>
    <w:rsid w:val="00A46C93"/>
    <w:rsid w:val="00A50FE5"/>
    <w:rsid w:val="00A52447"/>
    <w:rsid w:val="00A54A14"/>
    <w:rsid w:val="00A56F1B"/>
    <w:rsid w:val="00A62ADA"/>
    <w:rsid w:val="00A665EE"/>
    <w:rsid w:val="00A709B7"/>
    <w:rsid w:val="00A7145D"/>
    <w:rsid w:val="00A72335"/>
    <w:rsid w:val="00A75399"/>
    <w:rsid w:val="00A75CB8"/>
    <w:rsid w:val="00A808E6"/>
    <w:rsid w:val="00A80DCD"/>
    <w:rsid w:val="00A83F6D"/>
    <w:rsid w:val="00A93091"/>
    <w:rsid w:val="00A95C18"/>
    <w:rsid w:val="00AA2099"/>
    <w:rsid w:val="00AA2188"/>
    <w:rsid w:val="00AA4152"/>
    <w:rsid w:val="00AB2070"/>
    <w:rsid w:val="00AC0E8F"/>
    <w:rsid w:val="00AC33D4"/>
    <w:rsid w:val="00AC4BBE"/>
    <w:rsid w:val="00AC7E05"/>
    <w:rsid w:val="00AD0E0A"/>
    <w:rsid w:val="00AD1653"/>
    <w:rsid w:val="00AD4D15"/>
    <w:rsid w:val="00AD5627"/>
    <w:rsid w:val="00AD6C1D"/>
    <w:rsid w:val="00AD7765"/>
    <w:rsid w:val="00AE1664"/>
    <w:rsid w:val="00AE1679"/>
    <w:rsid w:val="00AF2B0A"/>
    <w:rsid w:val="00AF6182"/>
    <w:rsid w:val="00AF65A1"/>
    <w:rsid w:val="00B0198C"/>
    <w:rsid w:val="00B102A6"/>
    <w:rsid w:val="00B11FAE"/>
    <w:rsid w:val="00B1563F"/>
    <w:rsid w:val="00B21E14"/>
    <w:rsid w:val="00B24D33"/>
    <w:rsid w:val="00B261DC"/>
    <w:rsid w:val="00B27B53"/>
    <w:rsid w:val="00B27CA7"/>
    <w:rsid w:val="00B3764F"/>
    <w:rsid w:val="00B42A88"/>
    <w:rsid w:val="00B47747"/>
    <w:rsid w:val="00B512F3"/>
    <w:rsid w:val="00B5182E"/>
    <w:rsid w:val="00B557F0"/>
    <w:rsid w:val="00B562E8"/>
    <w:rsid w:val="00B569A0"/>
    <w:rsid w:val="00B62146"/>
    <w:rsid w:val="00B650C4"/>
    <w:rsid w:val="00B65BA1"/>
    <w:rsid w:val="00B70562"/>
    <w:rsid w:val="00B70A84"/>
    <w:rsid w:val="00B75742"/>
    <w:rsid w:val="00B80016"/>
    <w:rsid w:val="00B81B78"/>
    <w:rsid w:val="00B8427E"/>
    <w:rsid w:val="00B864C0"/>
    <w:rsid w:val="00B875EC"/>
    <w:rsid w:val="00B93FE3"/>
    <w:rsid w:val="00B949AC"/>
    <w:rsid w:val="00B94ABC"/>
    <w:rsid w:val="00BA0BAC"/>
    <w:rsid w:val="00BA280E"/>
    <w:rsid w:val="00BA35CF"/>
    <w:rsid w:val="00BA70C3"/>
    <w:rsid w:val="00BB0728"/>
    <w:rsid w:val="00BB653D"/>
    <w:rsid w:val="00BB6D99"/>
    <w:rsid w:val="00BC0144"/>
    <w:rsid w:val="00BC0651"/>
    <w:rsid w:val="00BC114B"/>
    <w:rsid w:val="00BC1945"/>
    <w:rsid w:val="00BD2938"/>
    <w:rsid w:val="00BD677F"/>
    <w:rsid w:val="00BD79A2"/>
    <w:rsid w:val="00BF4C0F"/>
    <w:rsid w:val="00BF5A37"/>
    <w:rsid w:val="00BF753B"/>
    <w:rsid w:val="00C0218C"/>
    <w:rsid w:val="00C0430B"/>
    <w:rsid w:val="00C0456D"/>
    <w:rsid w:val="00C073CF"/>
    <w:rsid w:val="00C25C5F"/>
    <w:rsid w:val="00C34A14"/>
    <w:rsid w:val="00C46C6F"/>
    <w:rsid w:val="00C46C7F"/>
    <w:rsid w:val="00C5177A"/>
    <w:rsid w:val="00C52866"/>
    <w:rsid w:val="00C571A4"/>
    <w:rsid w:val="00C644B3"/>
    <w:rsid w:val="00C67842"/>
    <w:rsid w:val="00C67BA2"/>
    <w:rsid w:val="00C67F83"/>
    <w:rsid w:val="00C74BF2"/>
    <w:rsid w:val="00C77277"/>
    <w:rsid w:val="00C82F75"/>
    <w:rsid w:val="00C84538"/>
    <w:rsid w:val="00C865F3"/>
    <w:rsid w:val="00C8727B"/>
    <w:rsid w:val="00C907F0"/>
    <w:rsid w:val="00C93297"/>
    <w:rsid w:val="00CA1C1E"/>
    <w:rsid w:val="00CA1E04"/>
    <w:rsid w:val="00CA474B"/>
    <w:rsid w:val="00CA5B86"/>
    <w:rsid w:val="00CB2A4B"/>
    <w:rsid w:val="00CB3B77"/>
    <w:rsid w:val="00CB42E0"/>
    <w:rsid w:val="00CC6739"/>
    <w:rsid w:val="00CC75A5"/>
    <w:rsid w:val="00CD22B3"/>
    <w:rsid w:val="00CD533B"/>
    <w:rsid w:val="00CD6D68"/>
    <w:rsid w:val="00CD7EBC"/>
    <w:rsid w:val="00CE51B6"/>
    <w:rsid w:val="00CF1313"/>
    <w:rsid w:val="00CF1DC0"/>
    <w:rsid w:val="00CF2355"/>
    <w:rsid w:val="00CF2F48"/>
    <w:rsid w:val="00CF3EA8"/>
    <w:rsid w:val="00D01D48"/>
    <w:rsid w:val="00D0738A"/>
    <w:rsid w:val="00D140E4"/>
    <w:rsid w:val="00D140FF"/>
    <w:rsid w:val="00D211A6"/>
    <w:rsid w:val="00D268F4"/>
    <w:rsid w:val="00D27121"/>
    <w:rsid w:val="00D35796"/>
    <w:rsid w:val="00D37F92"/>
    <w:rsid w:val="00D434E5"/>
    <w:rsid w:val="00D47F92"/>
    <w:rsid w:val="00D52D8D"/>
    <w:rsid w:val="00D563A3"/>
    <w:rsid w:val="00D5683D"/>
    <w:rsid w:val="00D60F5F"/>
    <w:rsid w:val="00D636D3"/>
    <w:rsid w:val="00D66958"/>
    <w:rsid w:val="00D7254C"/>
    <w:rsid w:val="00D73675"/>
    <w:rsid w:val="00D8242E"/>
    <w:rsid w:val="00D83956"/>
    <w:rsid w:val="00D86CDB"/>
    <w:rsid w:val="00D87A19"/>
    <w:rsid w:val="00D90A7D"/>
    <w:rsid w:val="00D92DB2"/>
    <w:rsid w:val="00D94727"/>
    <w:rsid w:val="00D977BD"/>
    <w:rsid w:val="00DA0052"/>
    <w:rsid w:val="00DA5FE9"/>
    <w:rsid w:val="00DB2422"/>
    <w:rsid w:val="00DB78B2"/>
    <w:rsid w:val="00DC44DA"/>
    <w:rsid w:val="00DD5524"/>
    <w:rsid w:val="00DD59C3"/>
    <w:rsid w:val="00DE3126"/>
    <w:rsid w:val="00DF79DF"/>
    <w:rsid w:val="00E00C75"/>
    <w:rsid w:val="00E04E41"/>
    <w:rsid w:val="00E06B24"/>
    <w:rsid w:val="00E1158D"/>
    <w:rsid w:val="00E31B55"/>
    <w:rsid w:val="00E3221D"/>
    <w:rsid w:val="00E32EFC"/>
    <w:rsid w:val="00E4529C"/>
    <w:rsid w:val="00E504A9"/>
    <w:rsid w:val="00E51DB5"/>
    <w:rsid w:val="00E626F7"/>
    <w:rsid w:val="00E642B6"/>
    <w:rsid w:val="00E71271"/>
    <w:rsid w:val="00E75156"/>
    <w:rsid w:val="00E77F7A"/>
    <w:rsid w:val="00E82758"/>
    <w:rsid w:val="00E83E50"/>
    <w:rsid w:val="00E862FF"/>
    <w:rsid w:val="00E871BC"/>
    <w:rsid w:val="00E9310C"/>
    <w:rsid w:val="00E937AF"/>
    <w:rsid w:val="00E97CF1"/>
    <w:rsid w:val="00EA3526"/>
    <w:rsid w:val="00EA648A"/>
    <w:rsid w:val="00EA7213"/>
    <w:rsid w:val="00EB53BA"/>
    <w:rsid w:val="00EB6CA9"/>
    <w:rsid w:val="00EC0289"/>
    <w:rsid w:val="00EC6660"/>
    <w:rsid w:val="00ED1B60"/>
    <w:rsid w:val="00ED2935"/>
    <w:rsid w:val="00EE02F4"/>
    <w:rsid w:val="00EE18B2"/>
    <w:rsid w:val="00EE23C3"/>
    <w:rsid w:val="00EE62BF"/>
    <w:rsid w:val="00EF0C4D"/>
    <w:rsid w:val="00EF1B3A"/>
    <w:rsid w:val="00EF3915"/>
    <w:rsid w:val="00F044F8"/>
    <w:rsid w:val="00F06782"/>
    <w:rsid w:val="00F0736C"/>
    <w:rsid w:val="00F07929"/>
    <w:rsid w:val="00F123C5"/>
    <w:rsid w:val="00F1464B"/>
    <w:rsid w:val="00F203B5"/>
    <w:rsid w:val="00F226CA"/>
    <w:rsid w:val="00F27A88"/>
    <w:rsid w:val="00F27E81"/>
    <w:rsid w:val="00F30175"/>
    <w:rsid w:val="00F33B82"/>
    <w:rsid w:val="00F34300"/>
    <w:rsid w:val="00F34B05"/>
    <w:rsid w:val="00F36DB3"/>
    <w:rsid w:val="00F44D48"/>
    <w:rsid w:val="00F529C0"/>
    <w:rsid w:val="00F546CC"/>
    <w:rsid w:val="00F564E5"/>
    <w:rsid w:val="00F609E1"/>
    <w:rsid w:val="00F6115D"/>
    <w:rsid w:val="00F6156C"/>
    <w:rsid w:val="00F63EB0"/>
    <w:rsid w:val="00F65410"/>
    <w:rsid w:val="00F73427"/>
    <w:rsid w:val="00F75DC4"/>
    <w:rsid w:val="00F7655D"/>
    <w:rsid w:val="00F82981"/>
    <w:rsid w:val="00F9083E"/>
    <w:rsid w:val="00F927B3"/>
    <w:rsid w:val="00F9621A"/>
    <w:rsid w:val="00FA636F"/>
    <w:rsid w:val="00FA7A35"/>
    <w:rsid w:val="00FB3693"/>
    <w:rsid w:val="00FC02D3"/>
    <w:rsid w:val="00FC117E"/>
    <w:rsid w:val="00FC1553"/>
    <w:rsid w:val="00FC2E44"/>
    <w:rsid w:val="00FC7D71"/>
    <w:rsid w:val="00FD4C9B"/>
    <w:rsid w:val="00FE05AB"/>
    <w:rsid w:val="00FE0609"/>
    <w:rsid w:val="00FE253E"/>
    <w:rsid w:val="00FE594D"/>
    <w:rsid w:val="00FF157A"/>
    <w:rsid w:val="00FF1CB5"/>
    <w:rsid w:val="00FF463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D8BE"/>
  <w15:docId w15:val="{D2B7FF16-9DFE-4FEA-8962-69956A28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679"/>
    <w:rPr>
      <w:lang w:val="es-ES_tradnl"/>
    </w:rPr>
  </w:style>
  <w:style w:type="paragraph" w:styleId="Ttulo1">
    <w:name w:val="heading 1"/>
    <w:basedOn w:val="Normal"/>
    <w:link w:val="Ttulo1Car"/>
    <w:uiPriority w:val="9"/>
    <w:qFormat/>
    <w:rsid w:val="00620542"/>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next w:val="Normal"/>
    <w:link w:val="Ttulo2Car"/>
    <w:uiPriority w:val="9"/>
    <w:semiHidden/>
    <w:unhideWhenUsed/>
    <w:qFormat/>
    <w:rsid w:val="005F15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D02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0542"/>
    <w:rPr>
      <w:rFonts w:ascii="Times New Roman" w:eastAsia="Times New Roman" w:hAnsi="Times New Roman" w:cs="Times New Roman"/>
      <w:b/>
      <w:bCs/>
      <w:kern w:val="36"/>
      <w:sz w:val="48"/>
      <w:szCs w:val="48"/>
      <w:lang w:eastAsia="es-ES"/>
    </w:rPr>
  </w:style>
  <w:style w:type="paragraph" w:customStyle="1" w:styleId="first-child">
    <w:name w:val="first-child"/>
    <w:basedOn w:val="Normal"/>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Fuerte">
    <w:name w:val="Strong"/>
    <w:basedOn w:val="Fuentedeprrafopredeter"/>
    <w:uiPriority w:val="22"/>
    <w:qFormat/>
    <w:rsid w:val="00620542"/>
    <w:rPr>
      <w:b/>
      <w:bCs/>
    </w:rPr>
  </w:style>
  <w:style w:type="paragraph" w:customStyle="1" w:styleId="last-child">
    <w:name w:val="last-child"/>
    <w:basedOn w:val="Normal"/>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620542"/>
    <w:rPr>
      <w:color w:val="0000FF"/>
      <w:u w:val="single"/>
    </w:rPr>
  </w:style>
  <w:style w:type="paragraph" w:styleId="NormalWeb">
    <w:name w:val="Normal (Web)"/>
    <w:basedOn w:val="Normal"/>
    <w:uiPriority w:val="99"/>
    <w:unhideWhenUsed/>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E83E50"/>
    <w:rPr>
      <w:color w:val="605E5C"/>
      <w:shd w:val="clear" w:color="auto" w:fill="E1DFDD"/>
    </w:rPr>
  </w:style>
  <w:style w:type="paragraph" w:styleId="Encabezado">
    <w:name w:val="header"/>
    <w:basedOn w:val="Normal"/>
    <w:link w:val="EncabezadoCar"/>
    <w:uiPriority w:val="99"/>
    <w:unhideWhenUsed/>
    <w:rsid w:val="00E83E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3E50"/>
    <w:rPr>
      <w:lang w:val="es-ES_tradnl"/>
    </w:rPr>
  </w:style>
  <w:style w:type="paragraph" w:styleId="Piedepgina">
    <w:name w:val="footer"/>
    <w:basedOn w:val="Normal"/>
    <w:link w:val="PiedepginaCar"/>
    <w:uiPriority w:val="99"/>
    <w:unhideWhenUsed/>
    <w:rsid w:val="00E83E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3E50"/>
    <w:rPr>
      <w:lang w:val="es-ES_tradnl"/>
    </w:rPr>
  </w:style>
  <w:style w:type="character" w:styleId="Hipervnculovisitado">
    <w:name w:val="FollowedHyperlink"/>
    <w:basedOn w:val="Fuentedeprrafopredeter"/>
    <w:uiPriority w:val="99"/>
    <w:semiHidden/>
    <w:unhideWhenUsed/>
    <w:rsid w:val="00E83E50"/>
    <w:rPr>
      <w:color w:val="954F72" w:themeColor="followedHyperlink"/>
      <w:u w:val="single"/>
    </w:rPr>
  </w:style>
  <w:style w:type="paragraph" w:customStyle="1" w:styleId="m1909010295309559315msolistparagraph">
    <w:name w:val="m_1909010295309559315msolistparagraph"/>
    <w:basedOn w:val="Normal"/>
    <w:rsid w:val="00812019"/>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Prrafodelista">
    <w:name w:val="List Paragraph"/>
    <w:basedOn w:val="Normal"/>
    <w:qFormat/>
    <w:rsid w:val="00752F2A"/>
    <w:pPr>
      <w:ind w:left="720"/>
      <w:contextualSpacing/>
    </w:pPr>
  </w:style>
  <w:style w:type="paragraph" w:styleId="Revisin">
    <w:name w:val="Revision"/>
    <w:hidden/>
    <w:uiPriority w:val="99"/>
    <w:semiHidden/>
    <w:rsid w:val="000132DE"/>
    <w:pPr>
      <w:spacing w:after="0" w:line="240" w:lineRule="auto"/>
    </w:pPr>
    <w:rPr>
      <w:lang w:val="es-ES_tradnl"/>
    </w:rPr>
  </w:style>
  <w:style w:type="character" w:styleId="Refdecomentario">
    <w:name w:val="annotation reference"/>
    <w:basedOn w:val="Fuentedeprrafopredeter"/>
    <w:uiPriority w:val="99"/>
    <w:semiHidden/>
    <w:unhideWhenUsed/>
    <w:rsid w:val="000132DE"/>
    <w:rPr>
      <w:sz w:val="16"/>
      <w:szCs w:val="16"/>
    </w:rPr>
  </w:style>
  <w:style w:type="paragraph" w:styleId="Textocomentario">
    <w:name w:val="annotation text"/>
    <w:basedOn w:val="Normal"/>
    <w:link w:val="TextocomentarioCar"/>
    <w:uiPriority w:val="99"/>
    <w:unhideWhenUsed/>
    <w:rsid w:val="000132DE"/>
    <w:pPr>
      <w:spacing w:line="240" w:lineRule="auto"/>
    </w:pPr>
    <w:rPr>
      <w:sz w:val="20"/>
      <w:szCs w:val="20"/>
    </w:rPr>
  </w:style>
  <w:style w:type="character" w:customStyle="1" w:styleId="TextocomentarioCar">
    <w:name w:val="Texto comentario Car"/>
    <w:basedOn w:val="Fuentedeprrafopredeter"/>
    <w:link w:val="Textocomentario"/>
    <w:uiPriority w:val="99"/>
    <w:rsid w:val="000132DE"/>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132DE"/>
    <w:rPr>
      <w:b/>
      <w:bCs/>
    </w:rPr>
  </w:style>
  <w:style w:type="character" w:customStyle="1" w:styleId="AsuntodelcomentarioCar">
    <w:name w:val="Asunto del comentario Car"/>
    <w:basedOn w:val="TextocomentarioCar"/>
    <w:link w:val="Asuntodelcomentario"/>
    <w:uiPriority w:val="99"/>
    <w:semiHidden/>
    <w:rsid w:val="000132DE"/>
    <w:rPr>
      <w:b/>
      <w:bCs/>
      <w:sz w:val="20"/>
      <w:szCs w:val="20"/>
      <w:lang w:val="es-ES_tradnl"/>
    </w:rPr>
  </w:style>
  <w:style w:type="paragraph" w:styleId="Textodeglobo">
    <w:name w:val="Balloon Text"/>
    <w:basedOn w:val="Normal"/>
    <w:link w:val="TextodegloboCar"/>
    <w:uiPriority w:val="99"/>
    <w:semiHidden/>
    <w:unhideWhenUsed/>
    <w:rsid w:val="00F63E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EB0"/>
    <w:rPr>
      <w:rFonts w:ascii="Tahoma" w:hAnsi="Tahoma" w:cs="Tahoma"/>
      <w:sz w:val="16"/>
      <w:szCs w:val="16"/>
      <w:lang w:val="es-ES_tradnl"/>
    </w:rPr>
  </w:style>
  <w:style w:type="character" w:customStyle="1" w:styleId="Mencinsinresolver2">
    <w:name w:val="Mención sin resolver2"/>
    <w:basedOn w:val="Fuentedeprrafopredeter"/>
    <w:uiPriority w:val="99"/>
    <w:semiHidden/>
    <w:unhideWhenUsed/>
    <w:rsid w:val="00781D14"/>
    <w:rPr>
      <w:color w:val="605E5C"/>
      <w:shd w:val="clear" w:color="auto" w:fill="E1DFDD"/>
    </w:rPr>
  </w:style>
  <w:style w:type="character" w:styleId="Mencinsinresolver">
    <w:name w:val="Unresolved Mention"/>
    <w:basedOn w:val="Fuentedeprrafopredeter"/>
    <w:uiPriority w:val="99"/>
    <w:semiHidden/>
    <w:unhideWhenUsed/>
    <w:rsid w:val="00A017BB"/>
    <w:rPr>
      <w:color w:val="605E5C"/>
      <w:shd w:val="clear" w:color="auto" w:fill="E1DFDD"/>
    </w:rPr>
  </w:style>
  <w:style w:type="character" w:customStyle="1" w:styleId="Ttulo3Car">
    <w:name w:val="Título 3 Car"/>
    <w:basedOn w:val="Fuentedeprrafopredeter"/>
    <w:link w:val="Ttulo3"/>
    <w:uiPriority w:val="9"/>
    <w:semiHidden/>
    <w:rsid w:val="006D022D"/>
    <w:rPr>
      <w:rFonts w:asciiTheme="majorHAnsi" w:eastAsiaTheme="majorEastAsia" w:hAnsiTheme="majorHAnsi" w:cstheme="majorBidi"/>
      <w:color w:val="1F3763" w:themeColor="accent1" w:themeShade="7F"/>
      <w:sz w:val="24"/>
      <w:szCs w:val="24"/>
      <w:lang w:val="es-ES_tradnl"/>
    </w:rPr>
  </w:style>
  <w:style w:type="character" w:customStyle="1" w:styleId="Ttulo2Car">
    <w:name w:val="Título 2 Car"/>
    <w:basedOn w:val="Fuentedeprrafopredeter"/>
    <w:link w:val="Ttulo2"/>
    <w:uiPriority w:val="9"/>
    <w:semiHidden/>
    <w:rsid w:val="005F1564"/>
    <w:rPr>
      <w:rFonts w:asciiTheme="majorHAnsi" w:eastAsiaTheme="majorEastAsia" w:hAnsiTheme="majorHAnsi" w:cstheme="majorBidi"/>
      <w:color w:val="2F5496" w:themeColor="accent1" w:themeShade="BF"/>
      <w:sz w:val="26"/>
      <w:szCs w:val="26"/>
      <w:lang w:val="es-ES_tradnl"/>
    </w:rPr>
  </w:style>
  <w:style w:type="character" w:customStyle="1" w:styleId="relative">
    <w:name w:val="relative"/>
    <w:basedOn w:val="Fuentedeprrafopredeter"/>
    <w:rsid w:val="00767194"/>
  </w:style>
  <w:style w:type="paragraph" w:customStyle="1" w:styleId="not-prose">
    <w:name w:val="not-prose"/>
    <w:basedOn w:val="Normal"/>
    <w:rsid w:val="00767194"/>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z-Principiodelformulario">
    <w:name w:val="HTML Top of Form"/>
    <w:basedOn w:val="Normal"/>
    <w:next w:val="Normal"/>
    <w:link w:val="z-PrincipiodelformularioCar"/>
    <w:hidden/>
    <w:uiPriority w:val="99"/>
    <w:semiHidden/>
    <w:unhideWhenUsed/>
    <w:rsid w:val="00767194"/>
    <w:pPr>
      <w:pBdr>
        <w:bottom w:val="single" w:sz="6" w:space="1" w:color="auto"/>
      </w:pBdr>
      <w:spacing w:after="0" w:line="240" w:lineRule="auto"/>
      <w:jc w:val="center"/>
    </w:pPr>
    <w:rPr>
      <w:rFonts w:ascii="Arial" w:eastAsia="Times New Roman" w:hAnsi="Arial" w:cs="Arial"/>
      <w:vanish/>
      <w:sz w:val="16"/>
      <w:szCs w:val="16"/>
      <w:lang w:val="es-ES" w:eastAsia="es-ES_tradnl"/>
    </w:rPr>
  </w:style>
  <w:style w:type="character" w:customStyle="1" w:styleId="z-PrincipiodelformularioCar">
    <w:name w:val="z-Principio del formulario Car"/>
    <w:basedOn w:val="Fuentedeprrafopredeter"/>
    <w:link w:val="z-Principiodelformulario"/>
    <w:uiPriority w:val="99"/>
    <w:semiHidden/>
    <w:rsid w:val="00767194"/>
    <w:rPr>
      <w:rFonts w:ascii="Arial" w:eastAsia="Times New Roman" w:hAnsi="Arial" w:cs="Arial"/>
      <w:vanish/>
      <w:sz w:val="16"/>
      <w:szCs w:val="16"/>
      <w:lang w:eastAsia="es-ES_tradnl"/>
    </w:rPr>
  </w:style>
  <w:style w:type="paragraph" w:customStyle="1" w:styleId="placeholder">
    <w:name w:val="placeholder"/>
    <w:basedOn w:val="Normal"/>
    <w:rsid w:val="00767194"/>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z-Finaldelformulario">
    <w:name w:val="HTML Bottom of Form"/>
    <w:basedOn w:val="Normal"/>
    <w:next w:val="Normal"/>
    <w:link w:val="z-FinaldelformularioCar"/>
    <w:hidden/>
    <w:uiPriority w:val="99"/>
    <w:semiHidden/>
    <w:unhideWhenUsed/>
    <w:rsid w:val="00767194"/>
    <w:pPr>
      <w:pBdr>
        <w:top w:val="single" w:sz="6" w:space="1" w:color="auto"/>
      </w:pBdr>
      <w:spacing w:after="0" w:line="240" w:lineRule="auto"/>
      <w:jc w:val="center"/>
    </w:pPr>
    <w:rPr>
      <w:rFonts w:ascii="Arial" w:eastAsia="Times New Roman" w:hAnsi="Arial" w:cs="Arial"/>
      <w:vanish/>
      <w:sz w:val="16"/>
      <w:szCs w:val="16"/>
      <w:lang w:val="es-ES" w:eastAsia="es-ES_tradnl"/>
    </w:rPr>
  </w:style>
  <w:style w:type="character" w:customStyle="1" w:styleId="z-FinaldelformularioCar">
    <w:name w:val="z-Final del formulario Car"/>
    <w:basedOn w:val="Fuentedeprrafopredeter"/>
    <w:link w:val="z-Finaldelformulario"/>
    <w:uiPriority w:val="99"/>
    <w:semiHidden/>
    <w:rsid w:val="00767194"/>
    <w:rPr>
      <w:rFonts w:ascii="Arial" w:eastAsia="Times New Roman" w:hAnsi="Arial" w:cs="Arial"/>
      <w:vanish/>
      <w:sz w:val="16"/>
      <w:szCs w:val="16"/>
      <w:lang w:eastAsia="es-ES_tradnl"/>
    </w:rPr>
  </w:style>
  <w:style w:type="character" w:styleId="nfasis">
    <w:name w:val="Emphasis"/>
    <w:basedOn w:val="Fuentedeprrafopredeter"/>
    <w:uiPriority w:val="20"/>
    <w:qFormat/>
    <w:rsid w:val="00701C32"/>
    <w:rPr>
      <w:i/>
      <w:iCs/>
    </w:rPr>
  </w:style>
  <w:style w:type="character" w:customStyle="1" w:styleId="whitespace-normal">
    <w:name w:val="whitespace-normal"/>
    <w:basedOn w:val="Fuentedeprrafopredeter"/>
    <w:rsid w:val="00075CB9"/>
  </w:style>
  <w:style w:type="paragraph" w:customStyle="1" w:styleId="isselectedend">
    <w:name w:val="isselectedend"/>
    <w:basedOn w:val="Normal"/>
    <w:rsid w:val="00EE02F4"/>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9486">
      <w:bodyDiv w:val="1"/>
      <w:marLeft w:val="0"/>
      <w:marRight w:val="0"/>
      <w:marTop w:val="0"/>
      <w:marBottom w:val="0"/>
      <w:divBdr>
        <w:top w:val="none" w:sz="0" w:space="0" w:color="auto"/>
        <w:left w:val="none" w:sz="0" w:space="0" w:color="auto"/>
        <w:bottom w:val="none" w:sz="0" w:space="0" w:color="auto"/>
        <w:right w:val="none" w:sz="0" w:space="0" w:color="auto"/>
      </w:divBdr>
    </w:div>
    <w:div w:id="406344939">
      <w:bodyDiv w:val="1"/>
      <w:marLeft w:val="0"/>
      <w:marRight w:val="0"/>
      <w:marTop w:val="0"/>
      <w:marBottom w:val="0"/>
      <w:divBdr>
        <w:top w:val="none" w:sz="0" w:space="0" w:color="auto"/>
        <w:left w:val="none" w:sz="0" w:space="0" w:color="auto"/>
        <w:bottom w:val="none" w:sz="0" w:space="0" w:color="auto"/>
        <w:right w:val="none" w:sz="0" w:space="0" w:color="auto"/>
      </w:divBdr>
    </w:div>
    <w:div w:id="668484571">
      <w:bodyDiv w:val="1"/>
      <w:marLeft w:val="0"/>
      <w:marRight w:val="0"/>
      <w:marTop w:val="0"/>
      <w:marBottom w:val="0"/>
      <w:divBdr>
        <w:top w:val="none" w:sz="0" w:space="0" w:color="auto"/>
        <w:left w:val="none" w:sz="0" w:space="0" w:color="auto"/>
        <w:bottom w:val="none" w:sz="0" w:space="0" w:color="auto"/>
        <w:right w:val="none" w:sz="0" w:space="0" w:color="auto"/>
      </w:divBdr>
      <w:divsChild>
        <w:div w:id="1183711992">
          <w:marLeft w:val="0"/>
          <w:marRight w:val="0"/>
          <w:marTop w:val="0"/>
          <w:marBottom w:val="0"/>
          <w:divBdr>
            <w:top w:val="none" w:sz="0" w:space="0" w:color="auto"/>
            <w:left w:val="none" w:sz="0" w:space="0" w:color="auto"/>
            <w:bottom w:val="none" w:sz="0" w:space="0" w:color="auto"/>
            <w:right w:val="none" w:sz="0" w:space="0" w:color="auto"/>
          </w:divBdr>
          <w:divsChild>
            <w:div w:id="1159661033">
              <w:marLeft w:val="-225"/>
              <w:marRight w:val="-225"/>
              <w:marTop w:val="0"/>
              <w:marBottom w:val="0"/>
              <w:divBdr>
                <w:top w:val="none" w:sz="0" w:space="0" w:color="auto"/>
                <w:left w:val="none" w:sz="0" w:space="0" w:color="auto"/>
                <w:bottom w:val="none" w:sz="0" w:space="0" w:color="auto"/>
                <w:right w:val="none" w:sz="0" w:space="0" w:color="auto"/>
              </w:divBdr>
              <w:divsChild>
                <w:div w:id="1918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46670">
      <w:bodyDiv w:val="1"/>
      <w:marLeft w:val="0"/>
      <w:marRight w:val="0"/>
      <w:marTop w:val="0"/>
      <w:marBottom w:val="0"/>
      <w:divBdr>
        <w:top w:val="none" w:sz="0" w:space="0" w:color="auto"/>
        <w:left w:val="none" w:sz="0" w:space="0" w:color="auto"/>
        <w:bottom w:val="none" w:sz="0" w:space="0" w:color="auto"/>
        <w:right w:val="none" w:sz="0" w:space="0" w:color="auto"/>
      </w:divBdr>
    </w:div>
    <w:div w:id="875314594">
      <w:bodyDiv w:val="1"/>
      <w:marLeft w:val="0"/>
      <w:marRight w:val="0"/>
      <w:marTop w:val="0"/>
      <w:marBottom w:val="0"/>
      <w:divBdr>
        <w:top w:val="none" w:sz="0" w:space="0" w:color="auto"/>
        <w:left w:val="none" w:sz="0" w:space="0" w:color="auto"/>
        <w:bottom w:val="none" w:sz="0" w:space="0" w:color="auto"/>
        <w:right w:val="none" w:sz="0" w:space="0" w:color="auto"/>
      </w:divBdr>
    </w:div>
    <w:div w:id="927233748">
      <w:bodyDiv w:val="1"/>
      <w:marLeft w:val="0"/>
      <w:marRight w:val="0"/>
      <w:marTop w:val="0"/>
      <w:marBottom w:val="0"/>
      <w:divBdr>
        <w:top w:val="none" w:sz="0" w:space="0" w:color="auto"/>
        <w:left w:val="none" w:sz="0" w:space="0" w:color="auto"/>
        <w:bottom w:val="none" w:sz="0" w:space="0" w:color="auto"/>
        <w:right w:val="none" w:sz="0" w:space="0" w:color="auto"/>
      </w:divBdr>
    </w:div>
    <w:div w:id="932786672">
      <w:bodyDiv w:val="1"/>
      <w:marLeft w:val="0"/>
      <w:marRight w:val="0"/>
      <w:marTop w:val="0"/>
      <w:marBottom w:val="0"/>
      <w:divBdr>
        <w:top w:val="none" w:sz="0" w:space="0" w:color="auto"/>
        <w:left w:val="none" w:sz="0" w:space="0" w:color="auto"/>
        <w:bottom w:val="none" w:sz="0" w:space="0" w:color="auto"/>
        <w:right w:val="none" w:sz="0" w:space="0" w:color="auto"/>
      </w:divBdr>
    </w:div>
    <w:div w:id="1057586087">
      <w:bodyDiv w:val="1"/>
      <w:marLeft w:val="0"/>
      <w:marRight w:val="0"/>
      <w:marTop w:val="0"/>
      <w:marBottom w:val="0"/>
      <w:divBdr>
        <w:top w:val="none" w:sz="0" w:space="0" w:color="auto"/>
        <w:left w:val="none" w:sz="0" w:space="0" w:color="auto"/>
        <w:bottom w:val="none" w:sz="0" w:space="0" w:color="auto"/>
        <w:right w:val="none" w:sz="0" w:space="0" w:color="auto"/>
      </w:divBdr>
    </w:div>
    <w:div w:id="1073966369">
      <w:bodyDiv w:val="1"/>
      <w:marLeft w:val="0"/>
      <w:marRight w:val="0"/>
      <w:marTop w:val="0"/>
      <w:marBottom w:val="0"/>
      <w:divBdr>
        <w:top w:val="none" w:sz="0" w:space="0" w:color="auto"/>
        <w:left w:val="none" w:sz="0" w:space="0" w:color="auto"/>
        <w:bottom w:val="none" w:sz="0" w:space="0" w:color="auto"/>
        <w:right w:val="none" w:sz="0" w:space="0" w:color="auto"/>
      </w:divBdr>
    </w:div>
    <w:div w:id="1131285400">
      <w:bodyDiv w:val="1"/>
      <w:marLeft w:val="0"/>
      <w:marRight w:val="0"/>
      <w:marTop w:val="0"/>
      <w:marBottom w:val="0"/>
      <w:divBdr>
        <w:top w:val="none" w:sz="0" w:space="0" w:color="auto"/>
        <w:left w:val="none" w:sz="0" w:space="0" w:color="auto"/>
        <w:bottom w:val="none" w:sz="0" w:space="0" w:color="auto"/>
        <w:right w:val="none" w:sz="0" w:space="0" w:color="auto"/>
      </w:divBdr>
    </w:div>
    <w:div w:id="1265187534">
      <w:bodyDiv w:val="1"/>
      <w:marLeft w:val="0"/>
      <w:marRight w:val="0"/>
      <w:marTop w:val="0"/>
      <w:marBottom w:val="0"/>
      <w:divBdr>
        <w:top w:val="none" w:sz="0" w:space="0" w:color="auto"/>
        <w:left w:val="none" w:sz="0" w:space="0" w:color="auto"/>
        <w:bottom w:val="none" w:sz="0" w:space="0" w:color="auto"/>
        <w:right w:val="none" w:sz="0" w:space="0" w:color="auto"/>
      </w:divBdr>
    </w:div>
    <w:div w:id="1432820922">
      <w:bodyDiv w:val="1"/>
      <w:marLeft w:val="0"/>
      <w:marRight w:val="0"/>
      <w:marTop w:val="0"/>
      <w:marBottom w:val="0"/>
      <w:divBdr>
        <w:top w:val="none" w:sz="0" w:space="0" w:color="auto"/>
        <w:left w:val="none" w:sz="0" w:space="0" w:color="auto"/>
        <w:bottom w:val="none" w:sz="0" w:space="0" w:color="auto"/>
        <w:right w:val="none" w:sz="0" w:space="0" w:color="auto"/>
      </w:divBdr>
    </w:div>
    <w:div w:id="1603761766">
      <w:bodyDiv w:val="1"/>
      <w:marLeft w:val="0"/>
      <w:marRight w:val="0"/>
      <w:marTop w:val="0"/>
      <w:marBottom w:val="0"/>
      <w:divBdr>
        <w:top w:val="none" w:sz="0" w:space="0" w:color="auto"/>
        <w:left w:val="none" w:sz="0" w:space="0" w:color="auto"/>
        <w:bottom w:val="none" w:sz="0" w:space="0" w:color="auto"/>
        <w:right w:val="none" w:sz="0" w:space="0" w:color="auto"/>
      </w:divBdr>
    </w:div>
    <w:div w:id="1610356330">
      <w:bodyDiv w:val="1"/>
      <w:marLeft w:val="0"/>
      <w:marRight w:val="0"/>
      <w:marTop w:val="0"/>
      <w:marBottom w:val="0"/>
      <w:divBdr>
        <w:top w:val="none" w:sz="0" w:space="0" w:color="auto"/>
        <w:left w:val="none" w:sz="0" w:space="0" w:color="auto"/>
        <w:bottom w:val="none" w:sz="0" w:space="0" w:color="auto"/>
        <w:right w:val="none" w:sz="0" w:space="0" w:color="auto"/>
      </w:divBdr>
    </w:div>
    <w:div w:id="1800151361">
      <w:bodyDiv w:val="1"/>
      <w:marLeft w:val="0"/>
      <w:marRight w:val="0"/>
      <w:marTop w:val="0"/>
      <w:marBottom w:val="0"/>
      <w:divBdr>
        <w:top w:val="none" w:sz="0" w:space="0" w:color="auto"/>
        <w:left w:val="none" w:sz="0" w:space="0" w:color="auto"/>
        <w:bottom w:val="none" w:sz="0" w:space="0" w:color="auto"/>
        <w:right w:val="none" w:sz="0" w:space="0" w:color="auto"/>
      </w:divBdr>
    </w:div>
    <w:div w:id="1834298103">
      <w:bodyDiv w:val="1"/>
      <w:marLeft w:val="0"/>
      <w:marRight w:val="0"/>
      <w:marTop w:val="0"/>
      <w:marBottom w:val="0"/>
      <w:divBdr>
        <w:top w:val="none" w:sz="0" w:space="0" w:color="auto"/>
        <w:left w:val="none" w:sz="0" w:space="0" w:color="auto"/>
        <w:bottom w:val="none" w:sz="0" w:space="0" w:color="auto"/>
        <w:right w:val="none" w:sz="0" w:space="0" w:color="auto"/>
      </w:divBdr>
    </w:div>
    <w:div w:id="1896547145">
      <w:bodyDiv w:val="1"/>
      <w:marLeft w:val="0"/>
      <w:marRight w:val="0"/>
      <w:marTop w:val="0"/>
      <w:marBottom w:val="0"/>
      <w:divBdr>
        <w:top w:val="none" w:sz="0" w:space="0" w:color="auto"/>
        <w:left w:val="none" w:sz="0" w:space="0" w:color="auto"/>
        <w:bottom w:val="none" w:sz="0" w:space="0" w:color="auto"/>
        <w:right w:val="none" w:sz="0" w:space="0" w:color="auto"/>
      </w:divBdr>
    </w:div>
    <w:div w:id="2048798631">
      <w:bodyDiv w:val="1"/>
      <w:marLeft w:val="0"/>
      <w:marRight w:val="0"/>
      <w:marTop w:val="0"/>
      <w:marBottom w:val="0"/>
      <w:divBdr>
        <w:top w:val="none" w:sz="0" w:space="0" w:color="auto"/>
        <w:left w:val="none" w:sz="0" w:space="0" w:color="auto"/>
        <w:bottom w:val="none" w:sz="0" w:space="0" w:color="auto"/>
        <w:right w:val="none" w:sz="0" w:space="0" w:color="auto"/>
      </w:divBdr>
    </w:div>
    <w:div w:id="21418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liveoilworldcong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oliveoilworldcongress.com" TargetMode="External"/><Relationship Id="rId2" Type="http://schemas.openxmlformats.org/officeDocument/2006/relationships/hyperlink" Target="mailto:info@oliveoilwc.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1241</Words>
  <Characters>6826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Carmen Martínez</dc:creator>
  <cp:keywords/>
  <dc:description/>
  <cp:lastModifiedBy>María del Carmen Martínez</cp:lastModifiedBy>
  <cp:revision>2</cp:revision>
  <dcterms:created xsi:type="dcterms:W3CDTF">2026-07-02T12:11:00Z</dcterms:created>
  <dcterms:modified xsi:type="dcterms:W3CDTF">2026-07-02T12:11:00Z</dcterms:modified>
</cp:coreProperties>
</file>