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2659" w14:textId="1586C1FC" w:rsidR="00830A61" w:rsidRPr="00316E04" w:rsidRDefault="008D1F66" w:rsidP="00830A61">
      <w:pPr>
        <w:pStyle w:val="Prrafodelista"/>
        <w:spacing w:after="120" w:line="240" w:lineRule="auto"/>
        <w:jc w:val="center"/>
        <w:rPr>
          <w:rFonts w:eastAsia="Arial" w:cstheme="minorHAnsi"/>
          <w:b/>
          <w:bCs/>
          <w:sz w:val="44"/>
          <w:szCs w:val="44"/>
          <w:lang w:val="es-ES" w:eastAsia="es-ES"/>
        </w:rPr>
      </w:pPr>
      <w:r w:rsidRPr="00316E04">
        <w:rPr>
          <w:rFonts w:eastAsia="Arial" w:cstheme="minorHAnsi"/>
          <w:b/>
          <w:bCs/>
          <w:sz w:val="44"/>
          <w:szCs w:val="44"/>
          <w:lang w:eastAsia="es-ES"/>
        </w:rPr>
        <w:t>E</w:t>
      </w:r>
      <w:r w:rsidR="00AC2C2F">
        <w:rPr>
          <w:rFonts w:eastAsia="Arial" w:cstheme="minorHAnsi"/>
          <w:b/>
          <w:bCs/>
          <w:sz w:val="44"/>
          <w:szCs w:val="44"/>
          <w:lang w:eastAsia="es-ES"/>
        </w:rPr>
        <w:t>E.UU</w:t>
      </w:r>
      <w:r w:rsidRPr="00316E04">
        <w:rPr>
          <w:rFonts w:eastAsia="Arial" w:cstheme="minorHAnsi"/>
          <w:b/>
          <w:bCs/>
          <w:sz w:val="44"/>
          <w:szCs w:val="44"/>
          <w:lang w:eastAsia="es-ES"/>
        </w:rPr>
        <w:t>, Brasil y Asia</w:t>
      </w:r>
      <w:r w:rsidR="002B29C3">
        <w:rPr>
          <w:rFonts w:eastAsia="Arial" w:cstheme="minorHAnsi"/>
          <w:b/>
          <w:bCs/>
          <w:sz w:val="44"/>
          <w:szCs w:val="44"/>
          <w:lang w:eastAsia="es-ES"/>
        </w:rPr>
        <w:t>-Pacífico</w:t>
      </w:r>
      <w:r w:rsidRPr="00316E04">
        <w:rPr>
          <w:rFonts w:eastAsia="Arial" w:cstheme="minorHAnsi"/>
          <w:b/>
          <w:bCs/>
          <w:sz w:val="44"/>
          <w:szCs w:val="44"/>
          <w:lang w:eastAsia="es-ES"/>
        </w:rPr>
        <w:t xml:space="preserve"> c</w:t>
      </w:r>
      <w:r w:rsidR="00E44A17">
        <w:rPr>
          <w:rFonts w:eastAsia="Arial" w:cstheme="minorHAnsi"/>
          <w:b/>
          <w:bCs/>
          <w:sz w:val="44"/>
          <w:szCs w:val="44"/>
          <w:lang w:eastAsia="es-ES"/>
        </w:rPr>
        <w:t>recen en</w:t>
      </w:r>
      <w:r w:rsidRPr="00316E04">
        <w:rPr>
          <w:rFonts w:eastAsia="Arial" w:cstheme="minorHAnsi"/>
          <w:b/>
          <w:bCs/>
          <w:sz w:val="44"/>
          <w:szCs w:val="44"/>
          <w:lang w:eastAsia="es-ES"/>
        </w:rPr>
        <w:t xml:space="preserve"> el</w:t>
      </w:r>
      <w:r w:rsidR="00E44A17">
        <w:rPr>
          <w:rFonts w:eastAsia="Arial" w:cstheme="minorHAnsi"/>
          <w:b/>
          <w:bCs/>
          <w:sz w:val="44"/>
          <w:szCs w:val="44"/>
          <w:lang w:eastAsia="es-ES"/>
        </w:rPr>
        <w:t xml:space="preserve"> consumo de</w:t>
      </w:r>
      <w:r w:rsidRPr="00316E04">
        <w:rPr>
          <w:rFonts w:eastAsia="Arial" w:cstheme="minorHAnsi"/>
          <w:b/>
          <w:bCs/>
          <w:sz w:val="44"/>
          <w:szCs w:val="44"/>
          <w:lang w:eastAsia="es-ES"/>
        </w:rPr>
        <w:t xml:space="preserve"> aceite de oliva</w:t>
      </w:r>
      <w:r w:rsidR="00E44A17">
        <w:rPr>
          <w:rFonts w:eastAsia="Arial" w:cstheme="minorHAnsi"/>
          <w:b/>
          <w:bCs/>
          <w:sz w:val="44"/>
          <w:szCs w:val="44"/>
          <w:lang w:eastAsia="es-ES"/>
        </w:rPr>
        <w:t xml:space="preserve"> y</w:t>
      </w:r>
      <w:r w:rsidRPr="00316E04">
        <w:rPr>
          <w:rFonts w:eastAsia="Arial" w:cstheme="minorHAnsi"/>
          <w:b/>
          <w:bCs/>
          <w:sz w:val="44"/>
          <w:szCs w:val="44"/>
          <w:lang w:eastAsia="es-ES"/>
        </w:rPr>
        <w:t xml:space="preserve"> la Península Ibérica </w:t>
      </w:r>
      <w:r w:rsidR="00E44A17">
        <w:rPr>
          <w:rFonts w:eastAsia="Arial" w:cstheme="minorHAnsi"/>
          <w:b/>
          <w:bCs/>
          <w:sz w:val="44"/>
          <w:szCs w:val="44"/>
          <w:lang w:eastAsia="es-ES"/>
        </w:rPr>
        <w:t xml:space="preserve">concentrará su producción en menos </w:t>
      </w:r>
      <w:r w:rsidRPr="00316E04">
        <w:rPr>
          <w:rFonts w:eastAsia="Arial" w:cstheme="minorHAnsi"/>
          <w:b/>
          <w:bCs/>
          <w:sz w:val="44"/>
          <w:szCs w:val="44"/>
          <w:lang w:eastAsia="es-ES"/>
        </w:rPr>
        <w:t>almazaras</w:t>
      </w:r>
    </w:p>
    <w:p w14:paraId="41C9F99B" w14:textId="77777777" w:rsidR="00ED1B60" w:rsidRPr="00ED1B60" w:rsidRDefault="00ED1B60" w:rsidP="00ED1B60">
      <w:pPr>
        <w:pStyle w:val="Prrafodelista"/>
        <w:spacing w:after="120" w:line="240" w:lineRule="auto"/>
        <w:jc w:val="both"/>
        <w:rPr>
          <w:rFonts w:cstheme="minorHAnsi"/>
        </w:rPr>
      </w:pPr>
    </w:p>
    <w:p w14:paraId="42E40B8C" w14:textId="6AD80FBA" w:rsidR="002B29C3" w:rsidRPr="002B29C3" w:rsidRDefault="002B29C3" w:rsidP="002B29C3">
      <w:pPr>
        <w:pStyle w:val="font-claude-response-body"/>
        <w:numPr>
          <w:ilvl w:val="0"/>
          <w:numId w:val="22"/>
        </w:numPr>
        <w:jc w:val="both"/>
        <w:rPr>
          <w:rFonts w:asciiTheme="minorHAnsi" w:hAnsiTheme="minorHAnsi" w:cstheme="minorHAnsi"/>
          <w:b/>
          <w:bCs/>
          <w:sz w:val="22"/>
          <w:szCs w:val="22"/>
        </w:rPr>
      </w:pPr>
      <w:r w:rsidRPr="002B29C3">
        <w:rPr>
          <w:rFonts w:asciiTheme="minorHAnsi" w:hAnsiTheme="minorHAnsi" w:cstheme="minorHAnsi"/>
          <w:b/>
          <w:bCs/>
          <w:sz w:val="22"/>
          <w:szCs w:val="22"/>
        </w:rPr>
        <w:t>Abderraouf Laajimi, director ejecutivo Adjunto del COI, ha presentado durante la segunda jornada del Olive Oil World Congress los datos que certifican la transformación: el consumo mundial de aceite de oliva casi se ha duplicado desde 1990 hasta los 3,2 millones de toneladas, con E</w:t>
      </w:r>
      <w:r w:rsidR="00E44A17">
        <w:rPr>
          <w:rFonts w:asciiTheme="minorHAnsi" w:hAnsiTheme="minorHAnsi" w:cstheme="minorHAnsi"/>
          <w:b/>
          <w:bCs/>
          <w:sz w:val="22"/>
          <w:szCs w:val="22"/>
        </w:rPr>
        <w:t>stados Unidos</w:t>
      </w:r>
      <w:r w:rsidRPr="002B29C3">
        <w:rPr>
          <w:rFonts w:asciiTheme="minorHAnsi" w:hAnsiTheme="minorHAnsi" w:cstheme="minorHAnsi"/>
          <w:b/>
          <w:bCs/>
          <w:sz w:val="22"/>
          <w:szCs w:val="22"/>
        </w:rPr>
        <w:t xml:space="preserve"> como primer importador global (35%), Brasil como segundo (8%) y </w:t>
      </w:r>
      <w:r w:rsidR="00E44A17">
        <w:rPr>
          <w:rFonts w:asciiTheme="minorHAnsi" w:hAnsiTheme="minorHAnsi" w:cstheme="minorHAnsi"/>
          <w:b/>
          <w:bCs/>
          <w:sz w:val="22"/>
          <w:szCs w:val="22"/>
        </w:rPr>
        <w:t xml:space="preserve">el área de </w:t>
      </w:r>
      <w:r w:rsidRPr="002B29C3">
        <w:rPr>
          <w:rFonts w:asciiTheme="minorHAnsi" w:hAnsiTheme="minorHAnsi" w:cstheme="minorHAnsi"/>
          <w:b/>
          <w:bCs/>
          <w:sz w:val="22"/>
          <w:szCs w:val="22"/>
        </w:rPr>
        <w:t>Asia-Pacífico acumulando el 22% del crecimiento global de la demanda</w:t>
      </w:r>
    </w:p>
    <w:p w14:paraId="3635CF81" w14:textId="77777777" w:rsidR="002B29C3" w:rsidRDefault="002B29C3" w:rsidP="002B29C3">
      <w:pPr>
        <w:pStyle w:val="Prrafodelista"/>
        <w:rPr>
          <w:lang w:val="es-ES"/>
        </w:rPr>
      </w:pPr>
    </w:p>
    <w:p w14:paraId="27E757EF" w14:textId="64599936" w:rsidR="00316E04" w:rsidRPr="002B29C3" w:rsidRDefault="00316E04" w:rsidP="002B29C3">
      <w:pPr>
        <w:pStyle w:val="Prrafodelista"/>
        <w:numPr>
          <w:ilvl w:val="0"/>
          <w:numId w:val="22"/>
        </w:numPr>
        <w:jc w:val="both"/>
        <w:rPr>
          <w:b/>
          <w:bCs/>
          <w:lang w:val="es-ES"/>
        </w:rPr>
      </w:pPr>
      <w:r w:rsidRPr="002B29C3">
        <w:rPr>
          <w:b/>
          <w:bCs/>
          <w:lang w:val="es-ES"/>
        </w:rPr>
        <w:t xml:space="preserve">Juan Vilar, consultor estratégico internacional, ha explicado </w:t>
      </w:r>
      <w:r w:rsidR="00E44A17">
        <w:rPr>
          <w:b/>
          <w:bCs/>
          <w:lang w:val="es-ES"/>
        </w:rPr>
        <w:t>la paulatina integración industrial para producir aceite de oliva</w:t>
      </w:r>
      <w:r w:rsidRPr="002B29C3">
        <w:rPr>
          <w:b/>
          <w:bCs/>
          <w:lang w:val="es-ES"/>
        </w:rPr>
        <w:t xml:space="preserve">: </w:t>
      </w:r>
      <w:r w:rsidR="00E44A17">
        <w:rPr>
          <w:b/>
          <w:bCs/>
          <w:lang w:val="es-ES"/>
        </w:rPr>
        <w:t xml:space="preserve">actualmente </w:t>
      </w:r>
      <w:r w:rsidRPr="002B29C3">
        <w:rPr>
          <w:b/>
          <w:bCs/>
          <w:lang w:val="es-ES"/>
        </w:rPr>
        <w:t xml:space="preserve">solo 60 almazaras </w:t>
      </w:r>
      <w:r w:rsidR="00E44A17">
        <w:rPr>
          <w:b/>
          <w:bCs/>
          <w:lang w:val="es-ES"/>
        </w:rPr>
        <w:t>-</w:t>
      </w:r>
      <w:r w:rsidRPr="002B29C3">
        <w:rPr>
          <w:b/>
          <w:bCs/>
          <w:lang w:val="es-ES"/>
        </w:rPr>
        <w:t xml:space="preserve">el 2,25% del total </w:t>
      </w:r>
      <w:r w:rsidR="00E44A17">
        <w:rPr>
          <w:b/>
          <w:bCs/>
          <w:lang w:val="es-ES"/>
        </w:rPr>
        <w:t xml:space="preserve">actual </w:t>
      </w:r>
      <w:r w:rsidR="00EF182A" w:rsidRPr="002B29C3">
        <w:rPr>
          <w:b/>
          <w:bCs/>
          <w:lang w:val="es-ES"/>
        </w:rPr>
        <w:t xml:space="preserve">en la </w:t>
      </w:r>
      <w:r w:rsidR="00E44A17">
        <w:rPr>
          <w:b/>
          <w:bCs/>
          <w:lang w:val="es-ES"/>
        </w:rPr>
        <w:t>P</w:t>
      </w:r>
      <w:r w:rsidR="00A906A4" w:rsidRPr="002B29C3">
        <w:rPr>
          <w:b/>
          <w:bCs/>
          <w:lang w:val="es-ES"/>
        </w:rPr>
        <w:t>enínsula</w:t>
      </w:r>
      <w:r w:rsidR="00EF182A" w:rsidRPr="002B29C3">
        <w:rPr>
          <w:b/>
          <w:bCs/>
          <w:lang w:val="es-ES"/>
        </w:rPr>
        <w:t xml:space="preserve"> ibérica</w:t>
      </w:r>
      <w:r w:rsidRPr="002B29C3">
        <w:rPr>
          <w:b/>
          <w:bCs/>
          <w:lang w:val="es-ES"/>
        </w:rPr>
        <w:t xml:space="preserve">— procesan ya un tercio de toda la producción, una concentración </w:t>
      </w:r>
      <w:r w:rsidR="00E44A17">
        <w:rPr>
          <w:b/>
          <w:bCs/>
          <w:lang w:val="es-ES"/>
        </w:rPr>
        <w:t xml:space="preserve">progresiva ante unos </w:t>
      </w:r>
      <w:r w:rsidRPr="002B29C3">
        <w:rPr>
          <w:b/>
          <w:bCs/>
          <w:lang w:val="es-ES"/>
        </w:rPr>
        <w:t xml:space="preserve">costes fijos </w:t>
      </w:r>
      <w:r w:rsidR="00E44A17">
        <w:rPr>
          <w:b/>
          <w:bCs/>
          <w:lang w:val="es-ES"/>
        </w:rPr>
        <w:t xml:space="preserve">cada vez menos </w:t>
      </w:r>
      <w:r w:rsidRPr="002B29C3">
        <w:rPr>
          <w:b/>
          <w:bCs/>
          <w:lang w:val="es-ES"/>
        </w:rPr>
        <w:t>sostenibles. El estudio</w:t>
      </w:r>
      <w:r w:rsidR="00E44A17">
        <w:rPr>
          <w:b/>
          <w:bCs/>
          <w:lang w:val="es-ES"/>
        </w:rPr>
        <w:t xml:space="preserve"> d</w:t>
      </w:r>
      <w:r w:rsidRPr="002B29C3">
        <w:rPr>
          <w:b/>
          <w:bCs/>
          <w:lang w:val="es-ES"/>
        </w:rPr>
        <w:t xml:space="preserve">el Aula Universitaria Oleícola Innova de la Universidad Internacional de Andalucía, estima que 200 </w:t>
      </w:r>
      <w:r w:rsidR="00674675">
        <w:rPr>
          <w:b/>
          <w:bCs/>
          <w:lang w:val="es-ES"/>
        </w:rPr>
        <w:t>almazaras</w:t>
      </w:r>
      <w:r w:rsidRPr="002B29C3">
        <w:rPr>
          <w:b/>
          <w:bCs/>
          <w:lang w:val="es-ES"/>
        </w:rPr>
        <w:t xml:space="preserve"> cerrarán en cinco años</w:t>
      </w:r>
      <w:r w:rsidR="00E44A17">
        <w:rPr>
          <w:b/>
          <w:bCs/>
          <w:lang w:val="es-ES"/>
        </w:rPr>
        <w:t xml:space="preserve">, llegando </w:t>
      </w:r>
      <w:r w:rsidR="00674675">
        <w:rPr>
          <w:b/>
          <w:bCs/>
          <w:lang w:val="es-ES"/>
        </w:rPr>
        <w:t>a 500 menos en una década</w:t>
      </w:r>
    </w:p>
    <w:p w14:paraId="2260530E" w14:textId="77777777" w:rsidR="002B29C3" w:rsidRPr="00316E04" w:rsidRDefault="002B29C3" w:rsidP="002B29C3">
      <w:pPr>
        <w:pStyle w:val="Prrafodelista"/>
        <w:rPr>
          <w:lang w:val="es-ES"/>
        </w:rPr>
      </w:pPr>
    </w:p>
    <w:p w14:paraId="71253B18" w14:textId="7DD38A5B" w:rsidR="00316E04" w:rsidRPr="00316E04" w:rsidRDefault="00316E04" w:rsidP="00316E04">
      <w:pPr>
        <w:numPr>
          <w:ilvl w:val="0"/>
          <w:numId w:val="22"/>
        </w:numPr>
        <w:jc w:val="both"/>
        <w:rPr>
          <w:rFonts w:eastAsia="Arial" w:cstheme="minorHAnsi"/>
          <w:b/>
          <w:bCs/>
          <w:lang w:val="es-ES"/>
        </w:rPr>
      </w:pPr>
      <w:r>
        <w:rPr>
          <w:rFonts w:eastAsia="Arial" w:cstheme="minorHAnsi"/>
          <w:b/>
          <w:bCs/>
          <w:lang w:val="es-ES"/>
        </w:rPr>
        <w:t>Ambas</w:t>
      </w:r>
      <w:r w:rsidRPr="00316E04">
        <w:rPr>
          <w:rFonts w:eastAsia="Arial" w:cstheme="minorHAnsi"/>
          <w:b/>
          <w:bCs/>
          <w:lang w:val="es-ES"/>
        </w:rPr>
        <w:t xml:space="preserve"> intervenciones dibujan </w:t>
      </w:r>
      <w:r w:rsidR="00E44A17">
        <w:rPr>
          <w:rFonts w:eastAsia="Arial" w:cstheme="minorHAnsi"/>
          <w:b/>
          <w:bCs/>
          <w:lang w:val="es-ES"/>
        </w:rPr>
        <w:t>a un</w:t>
      </w:r>
      <w:r w:rsidRPr="00316E04">
        <w:rPr>
          <w:rFonts w:eastAsia="Arial" w:cstheme="minorHAnsi"/>
          <w:b/>
          <w:bCs/>
          <w:lang w:val="es-ES"/>
        </w:rPr>
        <w:t xml:space="preserve"> sector </w:t>
      </w:r>
      <w:r w:rsidR="00E44A17">
        <w:rPr>
          <w:rFonts w:eastAsia="Arial" w:cstheme="minorHAnsi"/>
          <w:b/>
          <w:bCs/>
          <w:lang w:val="es-ES"/>
        </w:rPr>
        <w:t xml:space="preserve">oleícola </w:t>
      </w:r>
      <w:r w:rsidRPr="00316E04">
        <w:rPr>
          <w:rFonts w:eastAsia="Arial" w:cstheme="minorHAnsi"/>
          <w:b/>
          <w:bCs/>
          <w:lang w:val="es-ES"/>
        </w:rPr>
        <w:t xml:space="preserve">en transformación: </w:t>
      </w:r>
      <w:r w:rsidR="00916165">
        <w:rPr>
          <w:rFonts w:eastAsia="Arial" w:cstheme="minorHAnsi"/>
          <w:b/>
          <w:bCs/>
          <w:lang w:val="es-ES"/>
        </w:rPr>
        <w:t xml:space="preserve">por un lado, </w:t>
      </w:r>
      <w:r w:rsidRPr="00316E04">
        <w:rPr>
          <w:rFonts w:eastAsia="Arial" w:cstheme="minorHAnsi"/>
          <w:b/>
          <w:bCs/>
          <w:lang w:val="es-ES"/>
        </w:rPr>
        <w:t xml:space="preserve">los mercados emergentes </w:t>
      </w:r>
      <w:r w:rsidR="00916165">
        <w:rPr>
          <w:rFonts w:eastAsia="Arial" w:cstheme="minorHAnsi"/>
          <w:b/>
          <w:bCs/>
          <w:lang w:val="es-ES"/>
        </w:rPr>
        <w:t xml:space="preserve">de consumo </w:t>
      </w:r>
      <w:r w:rsidRPr="00316E04">
        <w:rPr>
          <w:rFonts w:eastAsia="Arial" w:cstheme="minorHAnsi"/>
          <w:b/>
          <w:bCs/>
          <w:lang w:val="es-ES"/>
        </w:rPr>
        <w:t xml:space="preserve">exigen </w:t>
      </w:r>
      <w:r w:rsidR="00E44A17">
        <w:rPr>
          <w:rFonts w:eastAsia="Arial" w:cstheme="minorHAnsi"/>
          <w:b/>
          <w:bCs/>
          <w:lang w:val="es-ES"/>
        </w:rPr>
        <w:t xml:space="preserve">cada vez más un </w:t>
      </w:r>
      <w:r w:rsidRPr="00316E04">
        <w:rPr>
          <w:rFonts w:eastAsia="Arial" w:cstheme="minorHAnsi"/>
          <w:b/>
          <w:bCs/>
          <w:lang w:val="es-ES"/>
        </w:rPr>
        <w:t xml:space="preserve">posicionamiento premium y </w:t>
      </w:r>
      <w:r w:rsidR="00E44A17">
        <w:rPr>
          <w:rFonts w:eastAsia="Arial" w:cstheme="minorHAnsi"/>
          <w:b/>
          <w:bCs/>
          <w:lang w:val="es-ES"/>
        </w:rPr>
        <w:t>un relato basado en</w:t>
      </w:r>
      <w:r w:rsidRPr="00316E04">
        <w:rPr>
          <w:rFonts w:eastAsia="Arial" w:cstheme="minorHAnsi"/>
          <w:b/>
          <w:bCs/>
          <w:lang w:val="es-ES"/>
        </w:rPr>
        <w:t xml:space="preserve"> salud y origen</w:t>
      </w:r>
      <w:r w:rsidR="00916165">
        <w:rPr>
          <w:rFonts w:eastAsia="Arial" w:cstheme="minorHAnsi"/>
          <w:b/>
          <w:bCs/>
          <w:lang w:val="es-ES"/>
        </w:rPr>
        <w:t xml:space="preserve">; por otro, </w:t>
      </w:r>
      <w:r w:rsidRPr="00316E04">
        <w:rPr>
          <w:rFonts w:eastAsia="Arial" w:cstheme="minorHAnsi"/>
          <w:b/>
          <w:bCs/>
          <w:lang w:val="es-ES"/>
        </w:rPr>
        <w:t xml:space="preserve">el tejido productor tradicional </w:t>
      </w:r>
      <w:r w:rsidR="00E44A17">
        <w:rPr>
          <w:rFonts w:eastAsia="Arial" w:cstheme="minorHAnsi"/>
          <w:b/>
          <w:bCs/>
          <w:lang w:val="es-ES"/>
        </w:rPr>
        <w:t xml:space="preserve">se </w:t>
      </w:r>
      <w:r w:rsidRPr="00316E04">
        <w:rPr>
          <w:rFonts w:eastAsia="Arial" w:cstheme="minorHAnsi"/>
          <w:b/>
          <w:bCs/>
          <w:lang w:val="es-ES"/>
        </w:rPr>
        <w:t xml:space="preserve">enfrenta una </w:t>
      </w:r>
      <w:r w:rsidR="00674675">
        <w:rPr>
          <w:rFonts w:eastAsia="Arial" w:cstheme="minorHAnsi"/>
          <w:b/>
          <w:bCs/>
          <w:lang w:val="es-ES"/>
        </w:rPr>
        <w:t>‘</w:t>
      </w:r>
      <w:r w:rsidRPr="00316E04">
        <w:rPr>
          <w:rFonts w:eastAsia="Arial" w:cstheme="minorHAnsi"/>
          <w:b/>
          <w:bCs/>
          <w:lang w:val="es-ES"/>
        </w:rPr>
        <w:t xml:space="preserve">selección económica </w:t>
      </w:r>
      <w:r w:rsidR="00674675">
        <w:rPr>
          <w:rFonts w:eastAsia="Arial" w:cstheme="minorHAnsi"/>
          <w:b/>
          <w:bCs/>
          <w:lang w:val="es-ES"/>
        </w:rPr>
        <w:t xml:space="preserve">natural’ </w:t>
      </w:r>
      <w:r w:rsidR="00E44A17">
        <w:rPr>
          <w:rFonts w:eastAsia="Arial" w:cstheme="minorHAnsi"/>
          <w:b/>
          <w:bCs/>
          <w:lang w:val="es-ES"/>
        </w:rPr>
        <w:t>por costes</w:t>
      </w:r>
      <w:r w:rsidR="00674675">
        <w:rPr>
          <w:rFonts w:eastAsia="Arial" w:cstheme="minorHAnsi"/>
          <w:b/>
          <w:bCs/>
          <w:lang w:val="es-ES"/>
        </w:rPr>
        <w:t xml:space="preserve">, </w:t>
      </w:r>
      <w:r w:rsidRPr="00316E04">
        <w:rPr>
          <w:rFonts w:eastAsia="Arial" w:cstheme="minorHAnsi"/>
          <w:b/>
          <w:bCs/>
          <w:lang w:val="es-ES"/>
        </w:rPr>
        <w:t>cuyas salidas son tres: especializarse, integrarse o desaparecer</w:t>
      </w:r>
    </w:p>
    <w:p w14:paraId="0372848E" w14:textId="77777777" w:rsidR="00316E04" w:rsidRDefault="00316E04" w:rsidP="00316E04">
      <w:pPr>
        <w:jc w:val="both"/>
        <w:rPr>
          <w:rFonts w:eastAsia="Arial" w:cstheme="minorHAnsi"/>
          <w:b/>
          <w:bCs/>
          <w:lang w:val="es-ES"/>
        </w:rPr>
      </w:pPr>
    </w:p>
    <w:p w14:paraId="6FEBCE38" w14:textId="15992D67" w:rsidR="001E744E" w:rsidRPr="002F3706" w:rsidRDefault="00620542" w:rsidP="002F3706">
      <w:pPr>
        <w:jc w:val="both"/>
        <w:rPr>
          <w:rFonts w:eastAsia="Arial" w:cstheme="minorHAnsi"/>
          <w:lang w:val="es-ES"/>
        </w:rPr>
      </w:pPr>
      <w:r w:rsidRPr="002F3706">
        <w:rPr>
          <w:rFonts w:cstheme="minorHAnsi"/>
          <w:b/>
          <w:bCs/>
        </w:rPr>
        <w:t xml:space="preserve">Madrid, a </w:t>
      </w:r>
      <w:r w:rsidR="00D82783" w:rsidRPr="002F3706">
        <w:rPr>
          <w:rFonts w:cstheme="minorHAnsi"/>
          <w:b/>
          <w:bCs/>
        </w:rPr>
        <w:t>3</w:t>
      </w:r>
      <w:r w:rsidRPr="002F3706">
        <w:rPr>
          <w:rFonts w:cstheme="minorHAnsi"/>
          <w:b/>
          <w:bCs/>
        </w:rPr>
        <w:t xml:space="preserve"> de </w:t>
      </w:r>
      <w:r w:rsidR="00ED1B60" w:rsidRPr="002F3706">
        <w:rPr>
          <w:rFonts w:cstheme="minorHAnsi"/>
          <w:b/>
          <w:bCs/>
        </w:rPr>
        <w:t>julio</w:t>
      </w:r>
      <w:r w:rsidRPr="002F3706">
        <w:rPr>
          <w:rFonts w:cstheme="minorHAnsi"/>
          <w:b/>
          <w:bCs/>
        </w:rPr>
        <w:t xml:space="preserve"> de 202</w:t>
      </w:r>
      <w:r w:rsidR="00967344" w:rsidRPr="002F3706">
        <w:rPr>
          <w:rFonts w:cstheme="minorHAnsi"/>
          <w:b/>
          <w:bCs/>
        </w:rPr>
        <w:t>6</w:t>
      </w:r>
      <w:r w:rsidR="00F73427" w:rsidRPr="002F3706">
        <w:rPr>
          <w:rFonts w:cstheme="minorHAnsi"/>
          <w:b/>
          <w:bCs/>
        </w:rPr>
        <w:t>.-</w:t>
      </w:r>
      <w:r w:rsidR="00F73427" w:rsidRPr="002F3706">
        <w:rPr>
          <w:rFonts w:cstheme="minorHAnsi"/>
        </w:rPr>
        <w:t xml:space="preserve"> </w:t>
      </w:r>
      <w:r w:rsidR="001E744E" w:rsidRPr="002F3706">
        <w:rPr>
          <w:rFonts w:eastAsia="Arial" w:cstheme="minorHAnsi"/>
          <w:b/>
          <w:bCs/>
          <w:lang w:val="es-ES"/>
        </w:rPr>
        <w:t xml:space="preserve">El </w:t>
      </w:r>
      <w:r w:rsidR="001E744E" w:rsidRPr="002F3706">
        <w:rPr>
          <w:rFonts w:eastAsia="Arial" w:cstheme="minorHAnsi"/>
          <w:b/>
          <w:bCs/>
          <w:i/>
          <w:iCs/>
          <w:lang w:val="es-ES"/>
        </w:rPr>
        <w:t>Olive Oil World Congress</w:t>
      </w:r>
      <w:r w:rsidR="001E744E" w:rsidRPr="002F3706">
        <w:rPr>
          <w:rFonts w:eastAsia="Arial" w:cstheme="minorHAnsi"/>
          <w:b/>
          <w:bCs/>
          <w:lang w:val="es-ES"/>
        </w:rPr>
        <w:t xml:space="preserve"> (OOWC)</w:t>
      </w:r>
      <w:r w:rsidR="001E744E" w:rsidRPr="002F3706">
        <w:rPr>
          <w:rFonts w:eastAsia="Arial" w:cstheme="minorHAnsi"/>
          <w:lang w:val="es-ES"/>
        </w:rPr>
        <w:t xml:space="preserve"> ha dedicado</w:t>
      </w:r>
      <w:r w:rsidR="00E44A17">
        <w:rPr>
          <w:rFonts w:eastAsia="Arial" w:cstheme="minorHAnsi"/>
          <w:lang w:val="es-ES"/>
        </w:rPr>
        <w:t xml:space="preserve"> </w:t>
      </w:r>
      <w:r w:rsidR="001E744E" w:rsidRPr="002F3706">
        <w:rPr>
          <w:rFonts w:eastAsia="Arial" w:cstheme="minorHAnsi"/>
          <w:lang w:val="es-ES"/>
        </w:rPr>
        <w:t xml:space="preserve">en su segunda jornada </w:t>
      </w:r>
      <w:r w:rsidR="00916165">
        <w:rPr>
          <w:rFonts w:eastAsia="Arial" w:cstheme="minorHAnsi"/>
          <w:lang w:val="es-ES"/>
        </w:rPr>
        <w:t xml:space="preserve">a </w:t>
      </w:r>
      <w:r w:rsidR="001E744E" w:rsidRPr="002F3706">
        <w:rPr>
          <w:rFonts w:eastAsia="Arial" w:cstheme="minorHAnsi"/>
          <w:lang w:val="es-ES"/>
        </w:rPr>
        <w:t>una de sus sesiones más estratégicas</w:t>
      </w:r>
      <w:r w:rsidR="00916165">
        <w:rPr>
          <w:rFonts w:eastAsia="Arial" w:cstheme="minorHAnsi"/>
          <w:lang w:val="es-ES"/>
        </w:rPr>
        <w:t>. P</w:t>
      </w:r>
      <w:r w:rsidR="00E44A17">
        <w:rPr>
          <w:rFonts w:eastAsia="Arial" w:cstheme="minorHAnsi"/>
          <w:lang w:val="es-ES"/>
        </w:rPr>
        <w:t>or un lado</w:t>
      </w:r>
      <w:r w:rsidR="00916165">
        <w:rPr>
          <w:rFonts w:eastAsia="Arial" w:cstheme="minorHAnsi"/>
          <w:lang w:val="es-ES"/>
        </w:rPr>
        <w:t xml:space="preserve">, </w:t>
      </w:r>
      <w:r w:rsidR="001E744E" w:rsidRPr="002F3706">
        <w:rPr>
          <w:rFonts w:eastAsia="Arial" w:cstheme="minorHAnsi"/>
          <w:lang w:val="es-ES"/>
        </w:rPr>
        <w:t>al</w:t>
      </w:r>
      <w:r w:rsidR="00916165">
        <w:rPr>
          <w:rFonts w:eastAsia="Arial" w:cstheme="minorHAnsi"/>
          <w:lang w:val="es-ES"/>
        </w:rPr>
        <w:t xml:space="preserve"> contexto </w:t>
      </w:r>
      <w:r w:rsidR="001E744E" w:rsidRPr="002F3706">
        <w:rPr>
          <w:rFonts w:eastAsia="Arial" w:cstheme="minorHAnsi"/>
          <w:lang w:val="es-ES"/>
        </w:rPr>
        <w:t>geográfi</w:t>
      </w:r>
      <w:r w:rsidR="00916165">
        <w:rPr>
          <w:rFonts w:eastAsia="Arial" w:cstheme="minorHAnsi"/>
          <w:lang w:val="es-ES"/>
        </w:rPr>
        <w:t xml:space="preserve">co de la demanda de consumo del </w:t>
      </w:r>
      <w:r w:rsidR="001E744E" w:rsidRPr="002F3706">
        <w:rPr>
          <w:rFonts w:eastAsia="Arial" w:cstheme="minorHAnsi"/>
          <w:lang w:val="es-ES"/>
        </w:rPr>
        <w:t>aceite de oliva</w:t>
      </w:r>
      <w:r w:rsidR="00916165">
        <w:rPr>
          <w:rFonts w:eastAsia="Arial" w:cstheme="minorHAnsi"/>
          <w:lang w:val="es-ES"/>
        </w:rPr>
        <w:t>, que s</w:t>
      </w:r>
      <w:r w:rsidR="001E744E" w:rsidRPr="002F3706">
        <w:rPr>
          <w:rFonts w:eastAsia="Arial" w:cstheme="minorHAnsi"/>
          <w:lang w:val="es-ES"/>
        </w:rPr>
        <w:t xml:space="preserve">e expande hacia mercados que hace apenas dos décadas eran prácticamente inexistentes. Del otro, </w:t>
      </w:r>
      <w:r w:rsidR="00916165">
        <w:rPr>
          <w:rFonts w:eastAsia="Arial" w:cstheme="minorHAnsi"/>
          <w:lang w:val="es-ES"/>
        </w:rPr>
        <w:t xml:space="preserve">al análisis de </w:t>
      </w:r>
      <w:r w:rsidR="001E744E" w:rsidRPr="002F3706">
        <w:rPr>
          <w:rFonts w:eastAsia="Arial" w:cstheme="minorHAnsi"/>
          <w:lang w:val="es-ES"/>
        </w:rPr>
        <w:t>la estructura productiva de los principales países proveedores</w:t>
      </w:r>
      <w:r w:rsidR="00916165">
        <w:rPr>
          <w:rFonts w:eastAsia="Arial" w:cstheme="minorHAnsi"/>
          <w:lang w:val="es-ES"/>
        </w:rPr>
        <w:t>, que</w:t>
      </w:r>
      <w:r w:rsidR="001E744E" w:rsidRPr="002F3706">
        <w:rPr>
          <w:rFonts w:eastAsia="Arial" w:cstheme="minorHAnsi"/>
          <w:lang w:val="es-ES"/>
        </w:rPr>
        <w:t xml:space="preserve"> se contrae </w:t>
      </w:r>
      <w:r w:rsidR="00916165">
        <w:rPr>
          <w:rFonts w:eastAsia="Arial" w:cstheme="minorHAnsi"/>
          <w:lang w:val="es-ES"/>
        </w:rPr>
        <w:t xml:space="preserve">por costes </w:t>
      </w:r>
      <w:r w:rsidR="001E744E" w:rsidRPr="002F3706">
        <w:rPr>
          <w:rFonts w:eastAsia="Arial" w:cstheme="minorHAnsi"/>
          <w:lang w:val="es-ES"/>
        </w:rPr>
        <w:t>hacia un número cada vez más reducido de operadores industriales</w:t>
      </w:r>
      <w:r w:rsidR="00916165">
        <w:rPr>
          <w:rFonts w:eastAsia="Arial" w:cstheme="minorHAnsi"/>
          <w:lang w:val="es-ES"/>
        </w:rPr>
        <w:t xml:space="preserve">, </w:t>
      </w:r>
      <w:r w:rsidR="001E744E" w:rsidRPr="002F3706">
        <w:rPr>
          <w:rFonts w:eastAsia="Arial" w:cstheme="minorHAnsi"/>
          <w:lang w:val="es-ES"/>
        </w:rPr>
        <w:t xml:space="preserve">capaces de competir en escala y precio. El </w:t>
      </w:r>
      <w:r w:rsidR="00916165">
        <w:rPr>
          <w:rFonts w:eastAsia="Arial" w:cstheme="minorHAnsi"/>
          <w:lang w:val="es-ES"/>
        </w:rPr>
        <w:t>C</w:t>
      </w:r>
      <w:r w:rsidR="001E744E" w:rsidRPr="002F3706">
        <w:rPr>
          <w:rFonts w:eastAsia="Arial" w:cstheme="minorHAnsi"/>
          <w:lang w:val="es-ES"/>
        </w:rPr>
        <w:t xml:space="preserve">ongreso ha reunido a dos de las voces más autorizadas para analizar este doble movimiento de expansión </w:t>
      </w:r>
      <w:r w:rsidR="00916165">
        <w:rPr>
          <w:rFonts w:eastAsia="Arial" w:cstheme="minorHAnsi"/>
          <w:lang w:val="es-ES"/>
        </w:rPr>
        <w:t xml:space="preserve">del consumo </w:t>
      </w:r>
      <w:r w:rsidR="001E744E" w:rsidRPr="002F3706">
        <w:rPr>
          <w:rFonts w:eastAsia="Arial" w:cstheme="minorHAnsi"/>
          <w:lang w:val="es-ES"/>
        </w:rPr>
        <w:t xml:space="preserve">y </w:t>
      </w:r>
      <w:r w:rsidR="00916165">
        <w:rPr>
          <w:rFonts w:eastAsia="Arial" w:cstheme="minorHAnsi"/>
          <w:lang w:val="es-ES"/>
        </w:rPr>
        <w:t xml:space="preserve">de </w:t>
      </w:r>
      <w:r w:rsidR="001E744E" w:rsidRPr="002F3706">
        <w:rPr>
          <w:rFonts w:eastAsia="Arial" w:cstheme="minorHAnsi"/>
          <w:lang w:val="es-ES"/>
        </w:rPr>
        <w:t>concentración</w:t>
      </w:r>
      <w:r w:rsidR="00916165">
        <w:rPr>
          <w:rFonts w:eastAsia="Arial" w:cstheme="minorHAnsi"/>
          <w:lang w:val="es-ES"/>
        </w:rPr>
        <w:t xml:space="preserve"> industrial en la producción de aceite de oliva.</w:t>
      </w:r>
    </w:p>
    <w:p w14:paraId="3DAC37CB" w14:textId="75D983B5" w:rsidR="00B801D7" w:rsidRPr="002F3706" w:rsidRDefault="00B801D7" w:rsidP="002F3706">
      <w:pPr>
        <w:pStyle w:val="font-claude-response-body"/>
        <w:jc w:val="both"/>
        <w:rPr>
          <w:rFonts w:asciiTheme="minorHAnsi" w:hAnsiTheme="minorHAnsi" w:cstheme="minorHAnsi"/>
          <w:sz w:val="22"/>
          <w:szCs w:val="22"/>
        </w:rPr>
      </w:pPr>
      <w:r w:rsidRPr="002F3706">
        <w:rPr>
          <w:rStyle w:val="Fuerte"/>
          <w:rFonts w:asciiTheme="minorHAnsi" w:hAnsiTheme="minorHAnsi" w:cstheme="minorHAnsi"/>
          <w:sz w:val="22"/>
          <w:szCs w:val="22"/>
        </w:rPr>
        <w:lastRenderedPageBreak/>
        <w:t>Abderraouf Laajimi, director ejecutivo Adjunto del Consejo Oleícola Internacional</w:t>
      </w:r>
      <w:r w:rsidRPr="002F3706">
        <w:rPr>
          <w:rFonts w:asciiTheme="minorHAnsi" w:hAnsiTheme="minorHAnsi" w:cstheme="minorHAnsi"/>
          <w:sz w:val="22"/>
          <w:szCs w:val="22"/>
        </w:rPr>
        <w:t xml:space="preserve">, ha </w:t>
      </w:r>
      <w:r w:rsidR="00916165">
        <w:rPr>
          <w:rFonts w:asciiTheme="minorHAnsi" w:hAnsiTheme="minorHAnsi" w:cstheme="minorHAnsi"/>
          <w:sz w:val="22"/>
          <w:szCs w:val="22"/>
        </w:rPr>
        <w:t>puesto números</w:t>
      </w:r>
      <w:r w:rsidRPr="002F3706">
        <w:rPr>
          <w:rFonts w:asciiTheme="minorHAnsi" w:hAnsiTheme="minorHAnsi" w:cstheme="minorHAnsi"/>
          <w:sz w:val="22"/>
          <w:szCs w:val="22"/>
        </w:rPr>
        <w:t xml:space="preserve"> </w:t>
      </w:r>
      <w:r w:rsidR="00916165">
        <w:rPr>
          <w:rFonts w:asciiTheme="minorHAnsi" w:hAnsiTheme="minorHAnsi" w:cstheme="minorHAnsi"/>
          <w:sz w:val="22"/>
          <w:szCs w:val="22"/>
        </w:rPr>
        <w:t xml:space="preserve">a </w:t>
      </w:r>
      <w:r w:rsidRPr="002F3706">
        <w:rPr>
          <w:rFonts w:asciiTheme="minorHAnsi" w:hAnsiTheme="minorHAnsi" w:cstheme="minorHAnsi"/>
          <w:sz w:val="22"/>
          <w:szCs w:val="22"/>
        </w:rPr>
        <w:t>la transformación d</w:t>
      </w:r>
      <w:r w:rsidR="00916165">
        <w:rPr>
          <w:rFonts w:asciiTheme="minorHAnsi" w:hAnsiTheme="minorHAnsi" w:cstheme="minorHAnsi"/>
          <w:sz w:val="22"/>
          <w:szCs w:val="22"/>
        </w:rPr>
        <w:t>el sector de aceite de oliva</w:t>
      </w:r>
      <w:r w:rsidRPr="002F3706">
        <w:rPr>
          <w:rFonts w:asciiTheme="minorHAnsi" w:hAnsiTheme="minorHAnsi" w:cstheme="minorHAnsi"/>
          <w:sz w:val="22"/>
          <w:szCs w:val="22"/>
        </w:rPr>
        <w:t xml:space="preserve">: desde </w:t>
      </w:r>
      <w:r w:rsidR="00916165">
        <w:rPr>
          <w:rFonts w:asciiTheme="minorHAnsi" w:hAnsiTheme="minorHAnsi" w:cstheme="minorHAnsi"/>
          <w:sz w:val="22"/>
          <w:szCs w:val="22"/>
        </w:rPr>
        <w:t xml:space="preserve">el año </w:t>
      </w:r>
      <w:r w:rsidRPr="002F3706">
        <w:rPr>
          <w:rFonts w:asciiTheme="minorHAnsi" w:hAnsiTheme="minorHAnsi" w:cstheme="minorHAnsi"/>
          <w:sz w:val="22"/>
          <w:szCs w:val="22"/>
        </w:rPr>
        <w:t>1990, el consumo mundial casi se ha duplicado</w:t>
      </w:r>
      <w:r w:rsidR="00916165">
        <w:rPr>
          <w:rFonts w:asciiTheme="minorHAnsi" w:hAnsiTheme="minorHAnsi" w:cstheme="minorHAnsi"/>
          <w:sz w:val="22"/>
          <w:szCs w:val="22"/>
        </w:rPr>
        <w:t>, llegando</w:t>
      </w:r>
      <w:r w:rsidRPr="002F3706">
        <w:rPr>
          <w:rFonts w:asciiTheme="minorHAnsi" w:hAnsiTheme="minorHAnsi" w:cstheme="minorHAnsi"/>
          <w:sz w:val="22"/>
          <w:szCs w:val="22"/>
        </w:rPr>
        <w:t xml:space="preserve"> hasta los </w:t>
      </w:r>
      <w:r w:rsidRPr="002F3706">
        <w:rPr>
          <w:rStyle w:val="Fuerte"/>
          <w:rFonts w:asciiTheme="minorHAnsi" w:hAnsiTheme="minorHAnsi" w:cstheme="minorHAnsi"/>
          <w:sz w:val="22"/>
          <w:szCs w:val="22"/>
        </w:rPr>
        <w:t>3,2 millones de toneladas en 2024</w:t>
      </w:r>
      <w:r w:rsidR="00916165">
        <w:rPr>
          <w:rStyle w:val="Fuerte"/>
          <w:rFonts w:asciiTheme="minorHAnsi" w:hAnsiTheme="minorHAnsi" w:cstheme="minorHAnsi"/>
          <w:sz w:val="22"/>
          <w:szCs w:val="22"/>
        </w:rPr>
        <w:t>/</w:t>
      </w:r>
      <w:r w:rsidRPr="002F3706">
        <w:rPr>
          <w:rStyle w:val="Fuerte"/>
          <w:rFonts w:asciiTheme="minorHAnsi" w:hAnsiTheme="minorHAnsi" w:cstheme="minorHAnsi"/>
          <w:sz w:val="22"/>
          <w:szCs w:val="22"/>
        </w:rPr>
        <w:t>25</w:t>
      </w:r>
      <w:r w:rsidRPr="002F3706">
        <w:rPr>
          <w:rFonts w:asciiTheme="minorHAnsi" w:hAnsiTheme="minorHAnsi" w:cstheme="minorHAnsi"/>
          <w:sz w:val="22"/>
          <w:szCs w:val="22"/>
        </w:rPr>
        <w:t xml:space="preserve">, la producción ha crecido más de un </w:t>
      </w:r>
      <w:r w:rsidRPr="002F3706">
        <w:rPr>
          <w:rStyle w:val="Fuerte"/>
          <w:rFonts w:asciiTheme="minorHAnsi" w:hAnsiTheme="minorHAnsi" w:cstheme="minorHAnsi"/>
          <w:sz w:val="22"/>
          <w:szCs w:val="22"/>
        </w:rPr>
        <w:t>130%</w:t>
      </w:r>
      <w:r w:rsidRPr="002F3706">
        <w:rPr>
          <w:rFonts w:asciiTheme="minorHAnsi" w:hAnsiTheme="minorHAnsi" w:cstheme="minorHAnsi"/>
          <w:sz w:val="22"/>
          <w:szCs w:val="22"/>
        </w:rPr>
        <w:t xml:space="preserve"> y l</w:t>
      </w:r>
      <w:r w:rsidR="00916165">
        <w:rPr>
          <w:rFonts w:asciiTheme="minorHAnsi" w:hAnsiTheme="minorHAnsi" w:cstheme="minorHAnsi"/>
          <w:sz w:val="22"/>
          <w:szCs w:val="22"/>
        </w:rPr>
        <w:t>a comercialización</w:t>
      </w:r>
      <w:r w:rsidRPr="002F3706">
        <w:rPr>
          <w:rFonts w:asciiTheme="minorHAnsi" w:hAnsiTheme="minorHAnsi" w:cstheme="minorHAnsi"/>
          <w:sz w:val="22"/>
          <w:szCs w:val="22"/>
        </w:rPr>
        <w:t xml:space="preserve"> ha seguido una expansión sostenida. El aceite de oliva ha dejado de ser un producto </w:t>
      </w:r>
      <w:r w:rsidR="00916165">
        <w:rPr>
          <w:rFonts w:asciiTheme="minorHAnsi" w:hAnsiTheme="minorHAnsi" w:cstheme="minorHAnsi"/>
          <w:sz w:val="22"/>
          <w:szCs w:val="22"/>
        </w:rPr>
        <w:t xml:space="preserve">solo </w:t>
      </w:r>
      <w:r w:rsidRPr="002F3706">
        <w:rPr>
          <w:rFonts w:asciiTheme="minorHAnsi" w:hAnsiTheme="minorHAnsi" w:cstheme="minorHAnsi"/>
          <w:sz w:val="22"/>
          <w:szCs w:val="22"/>
        </w:rPr>
        <w:t>mediterráneo para convertirse en una</w:t>
      </w:r>
      <w:r w:rsidR="00916165">
        <w:rPr>
          <w:rFonts w:asciiTheme="minorHAnsi" w:hAnsiTheme="minorHAnsi" w:cstheme="minorHAnsi"/>
          <w:sz w:val="22"/>
          <w:szCs w:val="22"/>
        </w:rPr>
        <w:t xml:space="preserve"> especie de</w:t>
      </w:r>
      <w:r w:rsidRPr="002F3706">
        <w:rPr>
          <w:rFonts w:asciiTheme="minorHAnsi" w:hAnsiTheme="minorHAnsi" w:cstheme="minorHAnsi"/>
          <w:sz w:val="22"/>
          <w:szCs w:val="22"/>
        </w:rPr>
        <w:t xml:space="preserve"> </w:t>
      </w:r>
      <w:r w:rsidRPr="00916165">
        <w:rPr>
          <w:rStyle w:val="Fuerte"/>
          <w:rFonts w:asciiTheme="minorHAnsi" w:hAnsiTheme="minorHAnsi" w:cstheme="minorHAnsi"/>
          <w:i/>
          <w:iCs/>
          <w:sz w:val="22"/>
          <w:szCs w:val="22"/>
        </w:rPr>
        <w:t>commodity</w:t>
      </w:r>
      <w:r w:rsidRPr="002F3706">
        <w:rPr>
          <w:rStyle w:val="Fuerte"/>
          <w:rFonts w:asciiTheme="minorHAnsi" w:hAnsiTheme="minorHAnsi" w:cstheme="minorHAnsi"/>
          <w:sz w:val="22"/>
          <w:szCs w:val="22"/>
        </w:rPr>
        <w:t xml:space="preserve"> global de </w:t>
      </w:r>
      <w:r w:rsidR="00916165">
        <w:rPr>
          <w:rStyle w:val="Fuerte"/>
          <w:rFonts w:asciiTheme="minorHAnsi" w:hAnsiTheme="minorHAnsi" w:cstheme="minorHAnsi"/>
          <w:sz w:val="22"/>
          <w:szCs w:val="22"/>
        </w:rPr>
        <w:t>indudable valor.</w:t>
      </w:r>
    </w:p>
    <w:p w14:paraId="12E529E3" w14:textId="3D36926A" w:rsidR="00B801D7" w:rsidRPr="002F3706" w:rsidRDefault="00B801D7" w:rsidP="002F3706">
      <w:pPr>
        <w:pStyle w:val="font-claude-response-body"/>
        <w:jc w:val="both"/>
        <w:rPr>
          <w:rFonts w:asciiTheme="minorHAnsi" w:hAnsiTheme="minorHAnsi" w:cstheme="minorHAnsi"/>
          <w:sz w:val="22"/>
          <w:szCs w:val="22"/>
        </w:rPr>
      </w:pPr>
      <w:r w:rsidRPr="002F3706">
        <w:rPr>
          <w:rStyle w:val="Fuerte"/>
          <w:rFonts w:asciiTheme="minorHAnsi" w:hAnsiTheme="minorHAnsi" w:cstheme="minorHAnsi"/>
          <w:sz w:val="22"/>
          <w:szCs w:val="22"/>
        </w:rPr>
        <w:t>Europa</w:t>
      </w:r>
      <w:r w:rsidRPr="002F3706">
        <w:rPr>
          <w:rFonts w:asciiTheme="minorHAnsi" w:hAnsiTheme="minorHAnsi" w:cstheme="minorHAnsi"/>
          <w:sz w:val="22"/>
          <w:szCs w:val="22"/>
        </w:rPr>
        <w:t xml:space="preserve"> concentra todavía cerca del </w:t>
      </w:r>
      <w:r w:rsidRPr="002F3706">
        <w:rPr>
          <w:rStyle w:val="Fuerte"/>
          <w:rFonts w:asciiTheme="minorHAnsi" w:hAnsiTheme="minorHAnsi" w:cstheme="minorHAnsi"/>
          <w:sz w:val="22"/>
          <w:szCs w:val="22"/>
        </w:rPr>
        <w:t>60% del consumo mundial</w:t>
      </w:r>
      <w:r w:rsidRPr="002F3706">
        <w:rPr>
          <w:rFonts w:asciiTheme="minorHAnsi" w:hAnsiTheme="minorHAnsi" w:cstheme="minorHAnsi"/>
          <w:sz w:val="22"/>
          <w:szCs w:val="22"/>
        </w:rPr>
        <w:t xml:space="preserve">, pero </w:t>
      </w:r>
      <w:r w:rsidR="00916165">
        <w:rPr>
          <w:rFonts w:asciiTheme="minorHAnsi" w:hAnsiTheme="minorHAnsi" w:cstheme="minorHAnsi"/>
          <w:sz w:val="22"/>
          <w:szCs w:val="22"/>
        </w:rPr>
        <w:t xml:space="preserve">va </w:t>
      </w:r>
      <w:r w:rsidRPr="002F3706">
        <w:rPr>
          <w:rFonts w:asciiTheme="minorHAnsi" w:hAnsiTheme="minorHAnsi" w:cstheme="minorHAnsi"/>
          <w:sz w:val="22"/>
          <w:szCs w:val="22"/>
        </w:rPr>
        <w:t>c</w:t>
      </w:r>
      <w:r w:rsidR="00916165">
        <w:rPr>
          <w:rFonts w:asciiTheme="minorHAnsi" w:hAnsiTheme="minorHAnsi" w:cstheme="minorHAnsi"/>
          <w:sz w:val="22"/>
          <w:szCs w:val="22"/>
        </w:rPr>
        <w:t>ediendo</w:t>
      </w:r>
      <w:r w:rsidRPr="002F3706">
        <w:rPr>
          <w:rFonts w:asciiTheme="minorHAnsi" w:hAnsiTheme="minorHAnsi" w:cstheme="minorHAnsi"/>
          <w:sz w:val="22"/>
          <w:szCs w:val="22"/>
        </w:rPr>
        <w:t xml:space="preserve"> </w:t>
      </w:r>
      <w:r w:rsidR="00916165">
        <w:rPr>
          <w:rFonts w:asciiTheme="minorHAnsi" w:hAnsiTheme="minorHAnsi" w:cstheme="minorHAnsi"/>
          <w:sz w:val="22"/>
          <w:szCs w:val="22"/>
        </w:rPr>
        <w:t>cuota</w:t>
      </w:r>
      <w:r w:rsidRPr="002F3706">
        <w:rPr>
          <w:rFonts w:asciiTheme="minorHAnsi" w:hAnsiTheme="minorHAnsi" w:cstheme="minorHAnsi"/>
          <w:sz w:val="22"/>
          <w:szCs w:val="22"/>
        </w:rPr>
        <w:t xml:space="preserve"> cada año. El primer importador global es </w:t>
      </w:r>
      <w:r w:rsidRPr="002F3706">
        <w:rPr>
          <w:rStyle w:val="Fuerte"/>
          <w:rFonts w:asciiTheme="minorHAnsi" w:hAnsiTheme="minorHAnsi" w:cstheme="minorHAnsi"/>
          <w:sz w:val="22"/>
          <w:szCs w:val="22"/>
        </w:rPr>
        <w:t>Estados Unidos</w:t>
      </w:r>
      <w:r w:rsidRPr="002F3706">
        <w:rPr>
          <w:rFonts w:asciiTheme="minorHAnsi" w:hAnsiTheme="minorHAnsi" w:cstheme="minorHAnsi"/>
          <w:sz w:val="22"/>
          <w:szCs w:val="22"/>
        </w:rPr>
        <w:t xml:space="preserve">, con entre </w:t>
      </w:r>
      <w:r w:rsidRPr="002F3706">
        <w:rPr>
          <w:rStyle w:val="Fuerte"/>
          <w:rFonts w:asciiTheme="minorHAnsi" w:hAnsiTheme="minorHAnsi" w:cstheme="minorHAnsi"/>
          <w:sz w:val="22"/>
          <w:szCs w:val="22"/>
        </w:rPr>
        <w:t>380.000 y 400.000 toneladas anuales</w:t>
      </w:r>
      <w:r w:rsidRPr="002F3706">
        <w:rPr>
          <w:rFonts w:asciiTheme="minorHAnsi" w:hAnsiTheme="minorHAnsi" w:cstheme="minorHAnsi"/>
          <w:sz w:val="22"/>
          <w:szCs w:val="22"/>
        </w:rPr>
        <w:t xml:space="preserve"> —el </w:t>
      </w:r>
      <w:r w:rsidRPr="002F3706">
        <w:rPr>
          <w:rStyle w:val="Fuerte"/>
          <w:rFonts w:asciiTheme="minorHAnsi" w:hAnsiTheme="minorHAnsi" w:cstheme="minorHAnsi"/>
          <w:sz w:val="22"/>
          <w:szCs w:val="22"/>
        </w:rPr>
        <w:t>35% de las importaciones mundiales</w:t>
      </w:r>
      <w:r w:rsidRPr="002F3706">
        <w:rPr>
          <w:rFonts w:asciiTheme="minorHAnsi" w:hAnsiTheme="minorHAnsi" w:cstheme="minorHAnsi"/>
          <w:sz w:val="22"/>
          <w:szCs w:val="22"/>
        </w:rPr>
        <w:t xml:space="preserve">—, posición que responde a una estrategia consolidada de posicionamiento del aceite de oliva como referencia premium en el segmento de </w:t>
      </w:r>
      <w:r w:rsidR="00916165">
        <w:rPr>
          <w:rFonts w:asciiTheme="minorHAnsi" w:hAnsiTheme="minorHAnsi" w:cstheme="minorHAnsi"/>
          <w:sz w:val="22"/>
          <w:szCs w:val="22"/>
        </w:rPr>
        <w:t xml:space="preserve">la </w:t>
      </w:r>
      <w:r w:rsidRPr="002F3706">
        <w:rPr>
          <w:rStyle w:val="Fuerte"/>
          <w:rFonts w:asciiTheme="minorHAnsi" w:hAnsiTheme="minorHAnsi" w:cstheme="minorHAnsi"/>
          <w:sz w:val="22"/>
          <w:szCs w:val="22"/>
        </w:rPr>
        <w:t>alimentación saludable</w:t>
      </w:r>
      <w:r w:rsidRPr="002F3706">
        <w:rPr>
          <w:rFonts w:asciiTheme="minorHAnsi" w:hAnsiTheme="minorHAnsi" w:cstheme="minorHAnsi"/>
          <w:sz w:val="22"/>
          <w:szCs w:val="22"/>
        </w:rPr>
        <w:t>.</w:t>
      </w:r>
    </w:p>
    <w:p w14:paraId="7C849359" w14:textId="77777777" w:rsidR="00B801D7" w:rsidRPr="002F3706" w:rsidRDefault="00B801D7" w:rsidP="002F3706">
      <w:pPr>
        <w:pStyle w:val="font-claude-response-body"/>
        <w:jc w:val="both"/>
        <w:rPr>
          <w:rFonts w:asciiTheme="minorHAnsi" w:hAnsiTheme="minorHAnsi" w:cstheme="minorHAnsi"/>
          <w:sz w:val="22"/>
          <w:szCs w:val="22"/>
        </w:rPr>
      </w:pPr>
      <w:r w:rsidRPr="002F3706">
        <w:rPr>
          <w:rStyle w:val="Fuerte"/>
          <w:rFonts w:asciiTheme="minorHAnsi" w:hAnsiTheme="minorHAnsi" w:cstheme="minorHAnsi"/>
          <w:sz w:val="22"/>
          <w:szCs w:val="22"/>
        </w:rPr>
        <w:t>Brasil</w:t>
      </w:r>
      <w:r w:rsidRPr="002F3706">
        <w:rPr>
          <w:rFonts w:asciiTheme="minorHAnsi" w:hAnsiTheme="minorHAnsi" w:cstheme="minorHAnsi"/>
          <w:sz w:val="22"/>
          <w:szCs w:val="22"/>
        </w:rPr>
        <w:t xml:space="preserve"> ocupa el segundo puesto, con unas </w:t>
      </w:r>
      <w:r w:rsidRPr="002F3706">
        <w:rPr>
          <w:rStyle w:val="Fuerte"/>
          <w:rFonts w:asciiTheme="minorHAnsi" w:hAnsiTheme="minorHAnsi" w:cstheme="minorHAnsi"/>
          <w:sz w:val="22"/>
          <w:szCs w:val="22"/>
        </w:rPr>
        <w:t>80.000 toneladas anuales</w:t>
      </w:r>
      <w:r w:rsidRPr="002F3706">
        <w:rPr>
          <w:rFonts w:asciiTheme="minorHAnsi" w:hAnsiTheme="minorHAnsi" w:cstheme="minorHAnsi"/>
          <w:sz w:val="22"/>
          <w:szCs w:val="22"/>
        </w:rPr>
        <w:t xml:space="preserve"> y una cuota del </w:t>
      </w:r>
      <w:r w:rsidRPr="002F3706">
        <w:rPr>
          <w:rStyle w:val="Fuerte"/>
          <w:rFonts w:asciiTheme="minorHAnsi" w:hAnsiTheme="minorHAnsi" w:cstheme="minorHAnsi"/>
          <w:sz w:val="22"/>
          <w:szCs w:val="22"/>
        </w:rPr>
        <w:t>8% de las importaciones globales</w:t>
      </w:r>
      <w:r w:rsidRPr="002F3706">
        <w:rPr>
          <w:rFonts w:asciiTheme="minorHAnsi" w:hAnsiTheme="minorHAnsi" w:cstheme="minorHAnsi"/>
          <w:sz w:val="22"/>
          <w:szCs w:val="22"/>
        </w:rPr>
        <w:t xml:space="preserve">. Su rasgo más singular —y también su mayor vulnerabilidad— es que el </w:t>
      </w:r>
      <w:r w:rsidRPr="002F3706">
        <w:rPr>
          <w:rStyle w:val="Fuerte"/>
          <w:rFonts w:asciiTheme="minorHAnsi" w:hAnsiTheme="minorHAnsi" w:cstheme="minorHAnsi"/>
          <w:sz w:val="22"/>
          <w:szCs w:val="22"/>
        </w:rPr>
        <w:t>99% de su consumo depende de las importaciones</w:t>
      </w:r>
      <w:r w:rsidRPr="002F3706">
        <w:rPr>
          <w:rFonts w:asciiTheme="minorHAnsi" w:hAnsiTheme="minorHAnsi" w:cstheme="minorHAnsi"/>
          <w:sz w:val="22"/>
          <w:szCs w:val="22"/>
        </w:rPr>
        <w:t>, lo que lo convierte en un termómetro especialmente sensible a la volatilidad del mercado internacional.</w:t>
      </w:r>
    </w:p>
    <w:p w14:paraId="0515ABC8" w14:textId="238ED941" w:rsidR="00B801D7" w:rsidRPr="002F3706" w:rsidRDefault="00B801D7" w:rsidP="002F3706">
      <w:pPr>
        <w:pStyle w:val="font-claude-response-body"/>
        <w:jc w:val="both"/>
        <w:rPr>
          <w:rFonts w:asciiTheme="minorHAnsi" w:hAnsiTheme="minorHAnsi" w:cstheme="minorHAnsi"/>
          <w:sz w:val="22"/>
          <w:szCs w:val="22"/>
        </w:rPr>
      </w:pPr>
      <w:r w:rsidRPr="002F3706">
        <w:rPr>
          <w:rFonts w:asciiTheme="minorHAnsi" w:hAnsiTheme="minorHAnsi" w:cstheme="minorHAnsi"/>
          <w:sz w:val="22"/>
          <w:szCs w:val="22"/>
        </w:rPr>
        <w:t>El tercer gran bloque emergente es</w:t>
      </w:r>
      <w:r w:rsidR="00916165">
        <w:rPr>
          <w:rFonts w:asciiTheme="minorHAnsi" w:hAnsiTheme="minorHAnsi" w:cstheme="minorHAnsi"/>
          <w:sz w:val="22"/>
          <w:szCs w:val="22"/>
        </w:rPr>
        <w:t xml:space="preserve"> al área de</w:t>
      </w:r>
      <w:r w:rsidRPr="002F3706">
        <w:rPr>
          <w:rFonts w:asciiTheme="minorHAnsi" w:hAnsiTheme="minorHAnsi" w:cstheme="minorHAnsi"/>
          <w:sz w:val="22"/>
          <w:szCs w:val="22"/>
        </w:rPr>
        <w:t xml:space="preserve"> </w:t>
      </w:r>
      <w:r w:rsidRPr="002F3706">
        <w:rPr>
          <w:rStyle w:val="Fuerte"/>
          <w:rFonts w:asciiTheme="minorHAnsi" w:hAnsiTheme="minorHAnsi" w:cstheme="minorHAnsi"/>
          <w:sz w:val="22"/>
          <w:szCs w:val="22"/>
        </w:rPr>
        <w:t>Asia-Pacífico</w:t>
      </w:r>
      <w:r w:rsidRPr="002F3706">
        <w:rPr>
          <w:rFonts w:asciiTheme="minorHAnsi" w:hAnsiTheme="minorHAnsi" w:cstheme="minorHAnsi"/>
          <w:sz w:val="22"/>
          <w:szCs w:val="22"/>
        </w:rPr>
        <w:t xml:space="preserve">: </w:t>
      </w:r>
      <w:r w:rsidRPr="002F3706">
        <w:rPr>
          <w:rStyle w:val="Fuerte"/>
          <w:rFonts w:asciiTheme="minorHAnsi" w:hAnsiTheme="minorHAnsi" w:cstheme="minorHAnsi"/>
          <w:sz w:val="22"/>
          <w:szCs w:val="22"/>
        </w:rPr>
        <w:t>China, Japón, Corea del Sur e India</w:t>
      </w:r>
      <w:r w:rsidRPr="002F3706">
        <w:rPr>
          <w:rFonts w:asciiTheme="minorHAnsi" w:hAnsiTheme="minorHAnsi" w:cstheme="minorHAnsi"/>
          <w:sz w:val="22"/>
          <w:szCs w:val="22"/>
        </w:rPr>
        <w:t xml:space="preserve"> han acumulado juntos el </w:t>
      </w:r>
      <w:r w:rsidRPr="002F3706">
        <w:rPr>
          <w:rStyle w:val="Fuerte"/>
          <w:rFonts w:asciiTheme="minorHAnsi" w:hAnsiTheme="minorHAnsi" w:cstheme="minorHAnsi"/>
          <w:sz w:val="22"/>
          <w:szCs w:val="22"/>
        </w:rPr>
        <w:t>22% del crecimiento global de la demanda</w:t>
      </w:r>
      <w:r w:rsidRPr="002F3706">
        <w:rPr>
          <w:rFonts w:asciiTheme="minorHAnsi" w:hAnsiTheme="minorHAnsi" w:cstheme="minorHAnsi"/>
          <w:sz w:val="22"/>
          <w:szCs w:val="22"/>
        </w:rPr>
        <w:t xml:space="preserve"> en las últimas dos décadas. Con un consumo per cápita todavía </w:t>
      </w:r>
      <w:r w:rsidR="00916165">
        <w:rPr>
          <w:rFonts w:asciiTheme="minorHAnsi" w:hAnsiTheme="minorHAnsi" w:cstheme="minorHAnsi"/>
          <w:sz w:val="22"/>
          <w:szCs w:val="22"/>
        </w:rPr>
        <w:t xml:space="preserve">muy </w:t>
      </w:r>
      <w:r w:rsidRPr="002F3706">
        <w:rPr>
          <w:rFonts w:asciiTheme="minorHAnsi" w:hAnsiTheme="minorHAnsi" w:cstheme="minorHAnsi"/>
          <w:sz w:val="22"/>
          <w:szCs w:val="22"/>
        </w:rPr>
        <w:t>modesto</w:t>
      </w:r>
      <w:r w:rsidR="00916165">
        <w:rPr>
          <w:rFonts w:asciiTheme="minorHAnsi" w:hAnsiTheme="minorHAnsi" w:cstheme="minorHAnsi"/>
          <w:sz w:val="22"/>
          <w:szCs w:val="22"/>
        </w:rPr>
        <w:t>,</w:t>
      </w:r>
      <w:r w:rsidRPr="002F3706">
        <w:rPr>
          <w:rFonts w:asciiTheme="minorHAnsi" w:hAnsiTheme="minorHAnsi" w:cstheme="minorHAnsi"/>
          <w:sz w:val="22"/>
          <w:szCs w:val="22"/>
        </w:rPr>
        <w:t xml:space="preserve"> pero </w:t>
      </w:r>
      <w:r w:rsidR="00916165">
        <w:rPr>
          <w:rFonts w:asciiTheme="minorHAnsi" w:hAnsiTheme="minorHAnsi" w:cstheme="minorHAnsi"/>
          <w:sz w:val="22"/>
          <w:szCs w:val="22"/>
        </w:rPr>
        <w:t xml:space="preserve">con elevada </w:t>
      </w:r>
      <w:r w:rsidRPr="002F3706">
        <w:rPr>
          <w:rFonts w:asciiTheme="minorHAnsi" w:hAnsiTheme="minorHAnsi" w:cstheme="minorHAnsi"/>
          <w:sz w:val="22"/>
          <w:szCs w:val="22"/>
        </w:rPr>
        <w:t>poblaci</w:t>
      </w:r>
      <w:r w:rsidR="00916165">
        <w:rPr>
          <w:rFonts w:asciiTheme="minorHAnsi" w:hAnsiTheme="minorHAnsi" w:cstheme="minorHAnsi"/>
          <w:sz w:val="22"/>
          <w:szCs w:val="22"/>
        </w:rPr>
        <w:t>ón</w:t>
      </w:r>
      <w:r w:rsidRPr="002F3706">
        <w:rPr>
          <w:rFonts w:asciiTheme="minorHAnsi" w:hAnsiTheme="minorHAnsi" w:cstheme="minorHAnsi"/>
          <w:sz w:val="22"/>
          <w:szCs w:val="22"/>
        </w:rPr>
        <w:t xml:space="preserve"> y </w:t>
      </w:r>
      <w:r w:rsidR="00916165">
        <w:rPr>
          <w:rFonts w:asciiTheme="minorHAnsi" w:hAnsiTheme="minorHAnsi" w:cstheme="minorHAnsi"/>
          <w:sz w:val="22"/>
          <w:szCs w:val="22"/>
        </w:rPr>
        <w:t xml:space="preserve">crecientes </w:t>
      </w:r>
      <w:r w:rsidRPr="002F3706">
        <w:rPr>
          <w:rFonts w:asciiTheme="minorHAnsi" w:hAnsiTheme="minorHAnsi" w:cstheme="minorHAnsi"/>
          <w:sz w:val="22"/>
          <w:szCs w:val="22"/>
        </w:rPr>
        <w:t xml:space="preserve">clases medias, esta región </w:t>
      </w:r>
      <w:r w:rsidR="00916165">
        <w:rPr>
          <w:rFonts w:asciiTheme="minorHAnsi" w:hAnsiTheme="minorHAnsi" w:cstheme="minorHAnsi"/>
          <w:sz w:val="22"/>
          <w:szCs w:val="22"/>
        </w:rPr>
        <w:t xml:space="preserve">del mundo </w:t>
      </w:r>
      <w:r w:rsidRPr="002F3706">
        <w:rPr>
          <w:rFonts w:asciiTheme="minorHAnsi" w:hAnsiTheme="minorHAnsi" w:cstheme="minorHAnsi"/>
          <w:sz w:val="22"/>
          <w:szCs w:val="22"/>
        </w:rPr>
        <w:t xml:space="preserve">concentra el </w:t>
      </w:r>
      <w:r w:rsidRPr="002F3706">
        <w:rPr>
          <w:rStyle w:val="Fuerte"/>
          <w:rFonts w:asciiTheme="minorHAnsi" w:hAnsiTheme="minorHAnsi" w:cstheme="minorHAnsi"/>
          <w:sz w:val="22"/>
          <w:szCs w:val="22"/>
        </w:rPr>
        <w:t>mayor potencial de crecimiento a largo plazo</w:t>
      </w:r>
      <w:r w:rsidR="00916165">
        <w:rPr>
          <w:rFonts w:asciiTheme="minorHAnsi" w:hAnsiTheme="minorHAnsi" w:cstheme="minorHAnsi"/>
          <w:sz w:val="22"/>
          <w:szCs w:val="22"/>
        </w:rPr>
        <w:t xml:space="preserve"> para el</w:t>
      </w:r>
      <w:r w:rsidRPr="002F3706">
        <w:rPr>
          <w:rFonts w:asciiTheme="minorHAnsi" w:hAnsiTheme="minorHAnsi" w:cstheme="minorHAnsi"/>
          <w:sz w:val="22"/>
          <w:szCs w:val="22"/>
        </w:rPr>
        <w:t xml:space="preserve"> sector</w:t>
      </w:r>
      <w:r w:rsidR="00916165">
        <w:rPr>
          <w:rFonts w:asciiTheme="minorHAnsi" w:hAnsiTheme="minorHAnsi" w:cstheme="minorHAnsi"/>
          <w:sz w:val="22"/>
          <w:szCs w:val="22"/>
        </w:rPr>
        <w:t xml:space="preserve"> oleícola.</w:t>
      </w:r>
      <w:r w:rsidRPr="002F3706">
        <w:rPr>
          <w:rFonts w:asciiTheme="minorHAnsi" w:hAnsiTheme="minorHAnsi" w:cstheme="minorHAnsi"/>
          <w:sz w:val="22"/>
          <w:szCs w:val="22"/>
        </w:rPr>
        <w:t xml:space="preserve"> La proyección global se sitúa en torno al </w:t>
      </w:r>
      <w:r w:rsidRPr="002F3706">
        <w:rPr>
          <w:rStyle w:val="Fuerte"/>
          <w:rFonts w:asciiTheme="minorHAnsi" w:hAnsiTheme="minorHAnsi" w:cstheme="minorHAnsi"/>
          <w:sz w:val="22"/>
          <w:szCs w:val="22"/>
        </w:rPr>
        <w:t xml:space="preserve">0,6% </w:t>
      </w:r>
      <w:r w:rsidR="00916165">
        <w:rPr>
          <w:rStyle w:val="Fuerte"/>
          <w:rFonts w:asciiTheme="minorHAnsi" w:hAnsiTheme="minorHAnsi" w:cstheme="minorHAnsi"/>
          <w:sz w:val="22"/>
          <w:szCs w:val="22"/>
        </w:rPr>
        <w:t xml:space="preserve">de incremento </w:t>
      </w:r>
      <w:r w:rsidRPr="002F3706">
        <w:rPr>
          <w:rStyle w:val="Fuerte"/>
          <w:rFonts w:asciiTheme="minorHAnsi" w:hAnsiTheme="minorHAnsi" w:cstheme="minorHAnsi"/>
          <w:sz w:val="22"/>
          <w:szCs w:val="22"/>
        </w:rPr>
        <w:t>anual en volumen</w:t>
      </w:r>
      <w:r w:rsidRPr="002F3706">
        <w:rPr>
          <w:rFonts w:asciiTheme="minorHAnsi" w:hAnsiTheme="minorHAnsi" w:cstheme="minorHAnsi"/>
          <w:sz w:val="22"/>
          <w:szCs w:val="22"/>
        </w:rPr>
        <w:t>, con un valor de mercado que crecerá a mayor ritmo</w:t>
      </w:r>
      <w:r w:rsidR="00916165">
        <w:rPr>
          <w:rFonts w:asciiTheme="minorHAnsi" w:hAnsiTheme="minorHAnsi" w:cstheme="minorHAnsi"/>
          <w:sz w:val="22"/>
          <w:szCs w:val="22"/>
        </w:rPr>
        <w:t>,</w:t>
      </w:r>
      <w:r w:rsidRPr="002F3706">
        <w:rPr>
          <w:rFonts w:asciiTheme="minorHAnsi" w:hAnsiTheme="minorHAnsi" w:cstheme="minorHAnsi"/>
          <w:sz w:val="22"/>
          <w:szCs w:val="22"/>
        </w:rPr>
        <w:t xml:space="preserve"> gracias a la </w:t>
      </w:r>
      <w:r w:rsidR="00674675">
        <w:rPr>
          <w:rFonts w:asciiTheme="minorHAnsi" w:hAnsiTheme="minorHAnsi" w:cstheme="minorHAnsi"/>
          <w:sz w:val="22"/>
          <w:szCs w:val="22"/>
        </w:rPr>
        <w:t>‘</w:t>
      </w:r>
      <w:r w:rsidRPr="002F3706">
        <w:rPr>
          <w:rStyle w:val="Fuerte"/>
          <w:rFonts w:asciiTheme="minorHAnsi" w:hAnsiTheme="minorHAnsi" w:cstheme="minorHAnsi"/>
          <w:sz w:val="22"/>
          <w:szCs w:val="22"/>
        </w:rPr>
        <w:t>premiumización</w:t>
      </w:r>
      <w:r w:rsidR="00674675">
        <w:rPr>
          <w:rStyle w:val="Fuerte"/>
          <w:rFonts w:asciiTheme="minorHAnsi" w:hAnsiTheme="minorHAnsi" w:cstheme="minorHAnsi"/>
          <w:sz w:val="22"/>
          <w:szCs w:val="22"/>
        </w:rPr>
        <w:t>’</w:t>
      </w:r>
      <w:r w:rsidRPr="002F3706">
        <w:rPr>
          <w:rFonts w:asciiTheme="minorHAnsi" w:hAnsiTheme="minorHAnsi" w:cstheme="minorHAnsi"/>
          <w:sz w:val="22"/>
          <w:szCs w:val="22"/>
        </w:rPr>
        <w:t>.</w:t>
      </w:r>
    </w:p>
    <w:p w14:paraId="2DCDD6D9" w14:textId="3A4F3FAE" w:rsidR="001E744E" w:rsidRPr="002F3706" w:rsidRDefault="001E744E" w:rsidP="002F3706">
      <w:pPr>
        <w:jc w:val="both"/>
        <w:rPr>
          <w:rFonts w:eastAsia="Arial" w:cstheme="minorHAnsi"/>
          <w:lang w:val="es-ES"/>
        </w:rPr>
      </w:pPr>
      <w:r w:rsidRPr="002F3706">
        <w:rPr>
          <w:rFonts w:eastAsia="Arial" w:cstheme="minorHAnsi"/>
          <w:b/>
          <w:bCs/>
          <w:lang w:val="es-ES"/>
        </w:rPr>
        <w:t>500 almazaras</w:t>
      </w:r>
      <w:r w:rsidR="00356803" w:rsidRPr="002F3706">
        <w:rPr>
          <w:rFonts w:eastAsia="Arial" w:cstheme="minorHAnsi"/>
          <w:b/>
          <w:bCs/>
          <w:lang w:val="es-ES"/>
        </w:rPr>
        <w:t xml:space="preserve"> </w:t>
      </w:r>
      <w:r w:rsidR="00674675">
        <w:rPr>
          <w:rFonts w:eastAsia="Arial" w:cstheme="minorHAnsi"/>
          <w:b/>
          <w:bCs/>
          <w:lang w:val="es-ES"/>
        </w:rPr>
        <w:t>de la Península</w:t>
      </w:r>
      <w:r w:rsidRPr="002F3706">
        <w:rPr>
          <w:rFonts w:eastAsia="Arial" w:cstheme="minorHAnsi"/>
          <w:b/>
          <w:bCs/>
          <w:lang w:val="es-ES"/>
        </w:rPr>
        <w:t xml:space="preserve"> </w:t>
      </w:r>
      <w:r w:rsidR="00674675">
        <w:rPr>
          <w:rFonts w:eastAsia="Arial" w:cstheme="minorHAnsi"/>
          <w:b/>
          <w:bCs/>
          <w:lang w:val="es-ES"/>
        </w:rPr>
        <w:t>I</w:t>
      </w:r>
      <w:r w:rsidRPr="002F3706">
        <w:rPr>
          <w:rFonts w:eastAsia="Arial" w:cstheme="minorHAnsi"/>
          <w:b/>
          <w:bCs/>
          <w:lang w:val="es-ES"/>
        </w:rPr>
        <w:t>bérica desaparecerán en diez años</w:t>
      </w:r>
    </w:p>
    <w:p w14:paraId="136862C2" w14:textId="6CD30F4F" w:rsidR="002E324F" w:rsidRPr="002F3706" w:rsidRDefault="002E324F" w:rsidP="002F3706">
      <w:pPr>
        <w:pStyle w:val="font-claude-response-body"/>
        <w:jc w:val="both"/>
        <w:rPr>
          <w:rFonts w:asciiTheme="minorHAnsi" w:hAnsiTheme="minorHAnsi" w:cstheme="minorHAnsi"/>
          <w:sz w:val="22"/>
          <w:szCs w:val="22"/>
        </w:rPr>
      </w:pPr>
      <w:r w:rsidRPr="002F3706">
        <w:rPr>
          <w:rFonts w:asciiTheme="minorHAnsi" w:hAnsiTheme="minorHAnsi" w:cstheme="minorHAnsi"/>
          <w:sz w:val="22"/>
          <w:szCs w:val="22"/>
        </w:rPr>
        <w:t>Mientras el consumo se expand</w:t>
      </w:r>
      <w:r w:rsidR="00674675">
        <w:rPr>
          <w:rFonts w:asciiTheme="minorHAnsi" w:hAnsiTheme="minorHAnsi" w:cstheme="minorHAnsi"/>
          <w:sz w:val="22"/>
          <w:szCs w:val="22"/>
        </w:rPr>
        <w:t>e desde sus mercados tradicionales hacia otras áreas emergentes,</w:t>
      </w:r>
      <w:r w:rsidRPr="002F3706">
        <w:rPr>
          <w:rFonts w:asciiTheme="minorHAnsi" w:hAnsiTheme="minorHAnsi" w:cstheme="minorHAnsi"/>
          <w:sz w:val="22"/>
          <w:szCs w:val="22"/>
        </w:rPr>
        <w:t xml:space="preserve"> la producción </w:t>
      </w:r>
      <w:r w:rsidR="00674675">
        <w:rPr>
          <w:rFonts w:asciiTheme="minorHAnsi" w:hAnsiTheme="minorHAnsi" w:cstheme="minorHAnsi"/>
          <w:sz w:val="22"/>
          <w:szCs w:val="22"/>
        </w:rPr>
        <w:t>tenderá a</w:t>
      </w:r>
      <w:r w:rsidRPr="002F3706">
        <w:rPr>
          <w:rFonts w:asciiTheme="minorHAnsi" w:hAnsiTheme="minorHAnsi" w:cstheme="minorHAnsi"/>
          <w:sz w:val="22"/>
          <w:szCs w:val="22"/>
        </w:rPr>
        <w:t xml:space="preserve"> concentra</w:t>
      </w:r>
      <w:r w:rsidR="00674675">
        <w:rPr>
          <w:rFonts w:asciiTheme="minorHAnsi" w:hAnsiTheme="minorHAnsi" w:cstheme="minorHAnsi"/>
          <w:sz w:val="22"/>
          <w:szCs w:val="22"/>
        </w:rPr>
        <w:t>rse</w:t>
      </w:r>
      <w:r w:rsidRPr="002F3706">
        <w:rPr>
          <w:rFonts w:asciiTheme="minorHAnsi" w:hAnsiTheme="minorHAnsi" w:cstheme="minorHAnsi"/>
          <w:sz w:val="22"/>
          <w:szCs w:val="22"/>
        </w:rPr>
        <w:t xml:space="preserve">. </w:t>
      </w:r>
      <w:r w:rsidRPr="002F3706">
        <w:rPr>
          <w:rStyle w:val="Fuerte"/>
          <w:rFonts w:asciiTheme="minorHAnsi" w:hAnsiTheme="minorHAnsi" w:cstheme="minorHAnsi"/>
          <w:sz w:val="22"/>
          <w:szCs w:val="22"/>
        </w:rPr>
        <w:t>Juan Vilar, consultor estratégico internacional</w:t>
      </w:r>
      <w:r w:rsidRPr="002F3706">
        <w:rPr>
          <w:rFonts w:asciiTheme="minorHAnsi" w:hAnsiTheme="minorHAnsi" w:cstheme="minorHAnsi"/>
          <w:sz w:val="22"/>
          <w:szCs w:val="22"/>
        </w:rPr>
        <w:t xml:space="preserve">, ha presentado una investigación —realizada con el </w:t>
      </w:r>
      <w:r w:rsidRPr="002F3706">
        <w:rPr>
          <w:rStyle w:val="Fuerte"/>
          <w:rFonts w:asciiTheme="minorHAnsi" w:hAnsiTheme="minorHAnsi" w:cstheme="minorHAnsi"/>
          <w:sz w:val="22"/>
          <w:szCs w:val="22"/>
        </w:rPr>
        <w:t>Aula Universitaria Oleícola Innova</w:t>
      </w:r>
      <w:r w:rsidRPr="002F3706">
        <w:rPr>
          <w:rFonts w:asciiTheme="minorHAnsi" w:hAnsiTheme="minorHAnsi" w:cstheme="minorHAnsi"/>
          <w:sz w:val="22"/>
          <w:szCs w:val="22"/>
        </w:rPr>
        <w:t xml:space="preserve"> de la Universidad Internacional de Andalucía— </w:t>
      </w:r>
      <w:r w:rsidR="00674675">
        <w:rPr>
          <w:rFonts w:asciiTheme="minorHAnsi" w:hAnsiTheme="minorHAnsi" w:cstheme="minorHAnsi"/>
          <w:sz w:val="22"/>
          <w:szCs w:val="22"/>
        </w:rPr>
        <w:t>en la que</w:t>
      </w:r>
      <w:r w:rsidRPr="002F3706">
        <w:rPr>
          <w:rFonts w:asciiTheme="minorHAnsi" w:hAnsiTheme="minorHAnsi" w:cstheme="minorHAnsi"/>
          <w:sz w:val="22"/>
          <w:szCs w:val="22"/>
        </w:rPr>
        <w:t xml:space="preserve"> concluye </w:t>
      </w:r>
      <w:r w:rsidR="00674675">
        <w:rPr>
          <w:rFonts w:asciiTheme="minorHAnsi" w:hAnsiTheme="minorHAnsi" w:cstheme="minorHAnsi"/>
          <w:sz w:val="22"/>
          <w:szCs w:val="22"/>
        </w:rPr>
        <w:t>que</w:t>
      </w:r>
      <w:r w:rsidRPr="002F3706">
        <w:rPr>
          <w:rFonts w:asciiTheme="minorHAnsi" w:hAnsiTheme="minorHAnsi" w:cstheme="minorHAnsi"/>
          <w:sz w:val="22"/>
          <w:szCs w:val="22"/>
        </w:rPr>
        <w:t xml:space="preserve"> </w:t>
      </w:r>
      <w:r w:rsidRPr="002F3706">
        <w:rPr>
          <w:rStyle w:val="Fuerte"/>
          <w:rFonts w:asciiTheme="minorHAnsi" w:hAnsiTheme="minorHAnsi" w:cstheme="minorHAnsi"/>
          <w:sz w:val="22"/>
          <w:szCs w:val="22"/>
        </w:rPr>
        <w:t>más del 22% de las almazaras de la Península Ibérica</w:t>
      </w:r>
      <w:r w:rsidR="007C1AD5">
        <w:rPr>
          <w:rStyle w:val="Fuerte"/>
          <w:rFonts w:asciiTheme="minorHAnsi" w:hAnsiTheme="minorHAnsi" w:cstheme="minorHAnsi"/>
          <w:sz w:val="22"/>
          <w:szCs w:val="22"/>
        </w:rPr>
        <w:t xml:space="preserve"> (España y Portugal representan el 65% de la producción mundial de aceite de oliva)</w:t>
      </w:r>
      <w:r w:rsidRPr="002F3706">
        <w:rPr>
          <w:rStyle w:val="Fuerte"/>
          <w:rFonts w:asciiTheme="minorHAnsi" w:hAnsiTheme="minorHAnsi" w:cstheme="minorHAnsi"/>
          <w:sz w:val="22"/>
          <w:szCs w:val="22"/>
        </w:rPr>
        <w:t xml:space="preserve"> habrán desaparecido en la próxima década</w:t>
      </w:r>
      <w:r w:rsidRPr="002F3706">
        <w:rPr>
          <w:rFonts w:asciiTheme="minorHAnsi" w:hAnsiTheme="minorHAnsi" w:cstheme="minorHAnsi"/>
          <w:sz w:val="22"/>
          <w:szCs w:val="22"/>
        </w:rPr>
        <w:t xml:space="preserve">: </w:t>
      </w:r>
      <w:r w:rsidR="00674675">
        <w:rPr>
          <w:rFonts w:asciiTheme="minorHAnsi" w:hAnsiTheme="minorHAnsi" w:cstheme="minorHAnsi"/>
          <w:sz w:val="22"/>
          <w:szCs w:val="22"/>
        </w:rPr>
        <w:t xml:space="preserve">prevé que haya unas </w:t>
      </w:r>
      <w:r w:rsidRPr="002F3706">
        <w:rPr>
          <w:rFonts w:asciiTheme="minorHAnsi" w:hAnsiTheme="minorHAnsi" w:cstheme="minorHAnsi"/>
          <w:sz w:val="22"/>
          <w:szCs w:val="22"/>
        </w:rPr>
        <w:t xml:space="preserve">200 </w:t>
      </w:r>
      <w:r w:rsidR="00674675">
        <w:rPr>
          <w:rFonts w:asciiTheme="minorHAnsi" w:hAnsiTheme="minorHAnsi" w:cstheme="minorHAnsi"/>
          <w:sz w:val="22"/>
          <w:szCs w:val="22"/>
        </w:rPr>
        <w:t xml:space="preserve">menos </w:t>
      </w:r>
      <w:r w:rsidRPr="002F3706">
        <w:rPr>
          <w:rFonts w:asciiTheme="minorHAnsi" w:hAnsiTheme="minorHAnsi" w:cstheme="minorHAnsi"/>
          <w:sz w:val="22"/>
          <w:szCs w:val="22"/>
        </w:rPr>
        <w:t>en cinco años</w:t>
      </w:r>
      <w:r w:rsidR="00674675">
        <w:rPr>
          <w:rFonts w:asciiTheme="minorHAnsi" w:hAnsiTheme="minorHAnsi" w:cstheme="minorHAnsi"/>
          <w:sz w:val="22"/>
          <w:szCs w:val="22"/>
        </w:rPr>
        <w:t xml:space="preserve"> y hasta</w:t>
      </w:r>
      <w:r w:rsidRPr="002F3706">
        <w:rPr>
          <w:rFonts w:asciiTheme="minorHAnsi" w:hAnsiTheme="minorHAnsi" w:cstheme="minorHAnsi"/>
          <w:sz w:val="22"/>
          <w:szCs w:val="22"/>
        </w:rPr>
        <w:t xml:space="preserve"> 500 </w:t>
      </w:r>
      <w:r w:rsidR="00674675">
        <w:rPr>
          <w:rFonts w:asciiTheme="minorHAnsi" w:hAnsiTheme="minorHAnsi" w:cstheme="minorHAnsi"/>
          <w:sz w:val="22"/>
          <w:szCs w:val="22"/>
        </w:rPr>
        <w:t>menos en una década.</w:t>
      </w:r>
    </w:p>
    <w:p w14:paraId="26A16B45" w14:textId="5EE96270" w:rsidR="002E324F" w:rsidRPr="002F3706" w:rsidRDefault="002E324F" w:rsidP="002F3706">
      <w:pPr>
        <w:pStyle w:val="font-claude-response-body"/>
        <w:jc w:val="both"/>
        <w:rPr>
          <w:rFonts w:asciiTheme="minorHAnsi" w:hAnsiTheme="minorHAnsi" w:cstheme="minorHAnsi"/>
          <w:sz w:val="22"/>
          <w:szCs w:val="22"/>
        </w:rPr>
      </w:pPr>
      <w:r w:rsidRPr="002F3706">
        <w:rPr>
          <w:rFonts w:asciiTheme="minorHAnsi" w:hAnsiTheme="minorHAnsi" w:cstheme="minorHAnsi"/>
          <w:sz w:val="22"/>
          <w:szCs w:val="22"/>
        </w:rPr>
        <w:t xml:space="preserve">Es lo que Vilar denomina </w:t>
      </w:r>
      <w:r w:rsidRPr="002F3706">
        <w:rPr>
          <w:rStyle w:val="Fuerte"/>
          <w:rFonts w:asciiTheme="minorHAnsi" w:hAnsiTheme="minorHAnsi" w:cstheme="minorHAnsi"/>
          <w:sz w:val="22"/>
          <w:szCs w:val="22"/>
        </w:rPr>
        <w:t>"selección natural económica"</w:t>
      </w:r>
      <w:r w:rsidRPr="002F3706">
        <w:rPr>
          <w:rFonts w:asciiTheme="minorHAnsi" w:hAnsiTheme="minorHAnsi" w:cstheme="minorHAnsi"/>
          <w:sz w:val="22"/>
          <w:szCs w:val="22"/>
        </w:rPr>
        <w:t xml:space="preserve">: de las </w:t>
      </w:r>
      <w:r w:rsidRPr="002F3706">
        <w:rPr>
          <w:rStyle w:val="Fuerte"/>
          <w:rFonts w:asciiTheme="minorHAnsi" w:hAnsiTheme="minorHAnsi" w:cstheme="minorHAnsi"/>
          <w:sz w:val="22"/>
          <w:szCs w:val="22"/>
        </w:rPr>
        <w:t>2.219 almazaras</w:t>
      </w:r>
      <w:r w:rsidRPr="002F3706">
        <w:rPr>
          <w:rFonts w:asciiTheme="minorHAnsi" w:hAnsiTheme="minorHAnsi" w:cstheme="minorHAnsi"/>
          <w:sz w:val="22"/>
          <w:szCs w:val="22"/>
        </w:rPr>
        <w:t xml:space="preserve"> existentes hoy en la Península Ibérica, solo </w:t>
      </w:r>
      <w:r w:rsidRPr="002F3706">
        <w:rPr>
          <w:rStyle w:val="Fuerte"/>
          <w:rFonts w:asciiTheme="minorHAnsi" w:hAnsiTheme="minorHAnsi" w:cstheme="minorHAnsi"/>
          <w:sz w:val="22"/>
          <w:szCs w:val="22"/>
        </w:rPr>
        <w:t>60 —el 2,25%— procesan ya un tercio de toda la producció</w:t>
      </w:r>
      <w:r w:rsidR="00674675">
        <w:rPr>
          <w:rStyle w:val="Fuerte"/>
          <w:rFonts w:asciiTheme="minorHAnsi" w:hAnsiTheme="minorHAnsi" w:cstheme="minorHAnsi"/>
          <w:sz w:val="22"/>
          <w:szCs w:val="22"/>
        </w:rPr>
        <w:t>n oleícola.</w:t>
      </w:r>
      <w:r w:rsidRPr="002F3706">
        <w:rPr>
          <w:rFonts w:asciiTheme="minorHAnsi" w:hAnsiTheme="minorHAnsi" w:cstheme="minorHAnsi"/>
          <w:sz w:val="22"/>
          <w:szCs w:val="22"/>
        </w:rPr>
        <w:t xml:space="preserve"> Estas 60 instalaciones tienen capacidad para procesar </w:t>
      </w:r>
      <w:r w:rsidRPr="002F3706">
        <w:rPr>
          <w:rStyle w:val="Fuerte"/>
          <w:rFonts w:asciiTheme="minorHAnsi" w:hAnsiTheme="minorHAnsi" w:cstheme="minorHAnsi"/>
          <w:sz w:val="22"/>
          <w:szCs w:val="22"/>
        </w:rPr>
        <w:t>50 millones de kilos de aceituna</w:t>
      </w:r>
      <w:r w:rsidRPr="002F3706">
        <w:rPr>
          <w:rFonts w:asciiTheme="minorHAnsi" w:hAnsiTheme="minorHAnsi" w:cstheme="minorHAnsi"/>
          <w:sz w:val="22"/>
          <w:szCs w:val="22"/>
        </w:rPr>
        <w:t>. Su capacidad para ofrecer precios de maquila más bajos atrae más volumen</w:t>
      </w:r>
      <w:r w:rsidR="00674675">
        <w:rPr>
          <w:rFonts w:asciiTheme="minorHAnsi" w:hAnsiTheme="minorHAnsi" w:cstheme="minorHAnsi"/>
          <w:sz w:val="22"/>
          <w:szCs w:val="22"/>
        </w:rPr>
        <w:t xml:space="preserve"> y reduce, por tanto,</w:t>
      </w:r>
      <w:r w:rsidRPr="002F3706">
        <w:rPr>
          <w:rFonts w:asciiTheme="minorHAnsi" w:hAnsiTheme="minorHAnsi" w:cstheme="minorHAnsi"/>
          <w:sz w:val="22"/>
          <w:szCs w:val="22"/>
        </w:rPr>
        <w:t xml:space="preserve"> </w:t>
      </w:r>
      <w:r w:rsidR="00674675">
        <w:rPr>
          <w:rFonts w:asciiTheme="minorHAnsi" w:hAnsiTheme="minorHAnsi" w:cstheme="minorHAnsi"/>
          <w:sz w:val="22"/>
          <w:szCs w:val="22"/>
        </w:rPr>
        <w:t xml:space="preserve">aún más </w:t>
      </w:r>
      <w:r w:rsidRPr="002F3706">
        <w:rPr>
          <w:rFonts w:asciiTheme="minorHAnsi" w:hAnsiTheme="minorHAnsi" w:cstheme="minorHAnsi"/>
          <w:sz w:val="22"/>
          <w:szCs w:val="22"/>
        </w:rPr>
        <w:t>sus costes unitarios. El resto queda atrapado en una espiral de menor actividad, costes fijos</w:t>
      </w:r>
      <w:r w:rsidR="00674675">
        <w:rPr>
          <w:rFonts w:asciiTheme="minorHAnsi" w:hAnsiTheme="minorHAnsi" w:cstheme="minorHAnsi"/>
          <w:sz w:val="22"/>
          <w:szCs w:val="22"/>
        </w:rPr>
        <w:t xml:space="preserve"> </w:t>
      </w:r>
      <w:r w:rsidR="007C1AD5">
        <w:rPr>
          <w:rFonts w:asciiTheme="minorHAnsi" w:hAnsiTheme="minorHAnsi" w:cstheme="minorHAnsi"/>
          <w:sz w:val="22"/>
          <w:szCs w:val="22"/>
        </w:rPr>
        <w:t xml:space="preserve">inevitables </w:t>
      </w:r>
      <w:r w:rsidRPr="002F3706">
        <w:rPr>
          <w:rFonts w:asciiTheme="minorHAnsi" w:hAnsiTheme="minorHAnsi" w:cstheme="minorHAnsi"/>
          <w:sz w:val="22"/>
          <w:szCs w:val="22"/>
        </w:rPr>
        <w:t xml:space="preserve">y márgenes cada vez más estrechos, con tarifas de maquila que oscilan entre los </w:t>
      </w:r>
      <w:r w:rsidRPr="002F3706">
        <w:rPr>
          <w:rStyle w:val="Fuerte"/>
          <w:rFonts w:asciiTheme="minorHAnsi" w:hAnsiTheme="minorHAnsi" w:cstheme="minorHAnsi"/>
          <w:sz w:val="22"/>
          <w:szCs w:val="22"/>
        </w:rPr>
        <w:t>7 y los 30 céntimos por kilo</w:t>
      </w:r>
      <w:r w:rsidRPr="002F3706">
        <w:rPr>
          <w:rFonts w:asciiTheme="minorHAnsi" w:hAnsiTheme="minorHAnsi" w:cstheme="minorHAnsi"/>
          <w:sz w:val="22"/>
          <w:szCs w:val="22"/>
        </w:rPr>
        <w:t xml:space="preserve"> según la instalación.</w:t>
      </w:r>
    </w:p>
    <w:p w14:paraId="199CF1C9" w14:textId="56FEA538" w:rsidR="002E324F" w:rsidRPr="002F3706" w:rsidRDefault="002E324F" w:rsidP="002F3706">
      <w:pPr>
        <w:pStyle w:val="font-claude-response-body"/>
        <w:jc w:val="both"/>
        <w:rPr>
          <w:rFonts w:asciiTheme="minorHAnsi" w:hAnsiTheme="minorHAnsi" w:cstheme="minorHAnsi"/>
          <w:sz w:val="22"/>
          <w:szCs w:val="22"/>
        </w:rPr>
      </w:pPr>
      <w:r w:rsidRPr="002F3706">
        <w:rPr>
          <w:rFonts w:asciiTheme="minorHAnsi" w:hAnsiTheme="minorHAnsi" w:cstheme="minorHAnsi"/>
          <w:sz w:val="22"/>
          <w:szCs w:val="22"/>
        </w:rPr>
        <w:lastRenderedPageBreak/>
        <w:t>De mantenerse esta tendencia, la investigación p</w:t>
      </w:r>
      <w:r w:rsidR="007C1AD5">
        <w:rPr>
          <w:rFonts w:asciiTheme="minorHAnsi" w:hAnsiTheme="minorHAnsi" w:cstheme="minorHAnsi"/>
          <w:sz w:val="22"/>
          <w:szCs w:val="22"/>
        </w:rPr>
        <w:t>royecta</w:t>
      </w:r>
      <w:r w:rsidRPr="002F3706">
        <w:rPr>
          <w:rFonts w:asciiTheme="minorHAnsi" w:hAnsiTheme="minorHAnsi" w:cstheme="minorHAnsi"/>
          <w:sz w:val="22"/>
          <w:szCs w:val="22"/>
        </w:rPr>
        <w:t xml:space="preserve"> que el mapa almazarero de la Península quedará reducido a tan solo </w:t>
      </w:r>
      <w:r w:rsidRPr="002F3706">
        <w:rPr>
          <w:rStyle w:val="Fuerte"/>
          <w:rFonts w:asciiTheme="minorHAnsi" w:hAnsiTheme="minorHAnsi" w:cstheme="minorHAnsi"/>
          <w:sz w:val="22"/>
          <w:szCs w:val="22"/>
        </w:rPr>
        <w:t>85 instalaciones</w:t>
      </w:r>
      <w:r w:rsidRPr="002F3706">
        <w:rPr>
          <w:rFonts w:asciiTheme="minorHAnsi" w:hAnsiTheme="minorHAnsi" w:cstheme="minorHAnsi"/>
          <w:sz w:val="22"/>
          <w:szCs w:val="22"/>
        </w:rPr>
        <w:t xml:space="preserve">, que concentrarán el </w:t>
      </w:r>
      <w:r w:rsidRPr="002F3706">
        <w:rPr>
          <w:rStyle w:val="Fuerte"/>
          <w:rFonts w:asciiTheme="minorHAnsi" w:hAnsiTheme="minorHAnsi" w:cstheme="minorHAnsi"/>
          <w:sz w:val="22"/>
          <w:szCs w:val="22"/>
        </w:rPr>
        <w:t>40% de toda la producción</w:t>
      </w:r>
      <w:r w:rsidRPr="002F3706">
        <w:rPr>
          <w:rFonts w:asciiTheme="minorHAnsi" w:hAnsiTheme="minorHAnsi" w:cstheme="minorHAnsi"/>
          <w:sz w:val="22"/>
          <w:szCs w:val="22"/>
        </w:rPr>
        <w:t>.</w:t>
      </w:r>
    </w:p>
    <w:p w14:paraId="34F47CF1" w14:textId="33BA799C" w:rsidR="002E324F" w:rsidRPr="002F3706" w:rsidRDefault="002E324F" w:rsidP="002F3706">
      <w:pPr>
        <w:pStyle w:val="font-claude-response-body"/>
        <w:jc w:val="both"/>
        <w:rPr>
          <w:rFonts w:asciiTheme="minorHAnsi" w:hAnsiTheme="minorHAnsi" w:cstheme="minorHAnsi"/>
          <w:sz w:val="22"/>
          <w:szCs w:val="22"/>
        </w:rPr>
      </w:pPr>
      <w:r w:rsidRPr="002F3706">
        <w:rPr>
          <w:rFonts w:asciiTheme="minorHAnsi" w:hAnsiTheme="minorHAnsi" w:cstheme="minorHAnsi"/>
          <w:sz w:val="22"/>
          <w:szCs w:val="22"/>
        </w:rPr>
        <w:t xml:space="preserve">Los </w:t>
      </w:r>
      <w:r w:rsidRPr="002F3706">
        <w:rPr>
          <w:rStyle w:val="Fuerte"/>
          <w:rFonts w:asciiTheme="minorHAnsi" w:hAnsiTheme="minorHAnsi" w:cstheme="minorHAnsi"/>
          <w:sz w:val="22"/>
          <w:szCs w:val="22"/>
        </w:rPr>
        <w:t>cinco últimos años de campañas cortas</w:t>
      </w:r>
      <w:r w:rsidRPr="002F3706">
        <w:rPr>
          <w:rFonts w:asciiTheme="minorHAnsi" w:hAnsiTheme="minorHAnsi" w:cstheme="minorHAnsi"/>
          <w:sz w:val="22"/>
          <w:szCs w:val="22"/>
        </w:rPr>
        <w:t xml:space="preserve"> han acelerado el proceso: con pocos kilos disponibles y presión para minimizar el coste de maquila, los agricultores han optado mayoritariamente por las instalaciones más grandes, dejando a las medianas y pequeñas con volúmenes muy por debajo de su capacidad instalada. La paradoja es que, aunque los precios en origen han estado por encima de la media durante este periodo, los agricultores no han logrado rentabilizar su trabajo: los costes fijos no se reducen por el hecho de que la cosecha sea</w:t>
      </w:r>
      <w:r w:rsidR="007C1AD5">
        <w:rPr>
          <w:rFonts w:asciiTheme="minorHAnsi" w:hAnsiTheme="minorHAnsi" w:cstheme="minorHAnsi"/>
          <w:sz w:val="22"/>
          <w:szCs w:val="22"/>
        </w:rPr>
        <w:t xml:space="preserve"> más abundante o escasa</w:t>
      </w:r>
      <w:r w:rsidRPr="002F3706">
        <w:rPr>
          <w:rFonts w:asciiTheme="minorHAnsi" w:hAnsiTheme="minorHAnsi" w:cstheme="minorHAnsi"/>
          <w:sz w:val="22"/>
          <w:szCs w:val="22"/>
        </w:rPr>
        <w:t>.</w:t>
      </w:r>
    </w:p>
    <w:p w14:paraId="226A09FC" w14:textId="04D37386" w:rsidR="002E324F" w:rsidRPr="002F3706" w:rsidRDefault="002E324F" w:rsidP="002F3706">
      <w:pPr>
        <w:pStyle w:val="font-claude-response-body"/>
        <w:jc w:val="both"/>
        <w:rPr>
          <w:rFonts w:asciiTheme="minorHAnsi" w:hAnsiTheme="minorHAnsi" w:cstheme="minorHAnsi"/>
          <w:sz w:val="22"/>
          <w:szCs w:val="22"/>
        </w:rPr>
      </w:pPr>
      <w:r w:rsidRPr="002F3706">
        <w:rPr>
          <w:rFonts w:asciiTheme="minorHAnsi" w:hAnsiTheme="minorHAnsi" w:cstheme="minorHAnsi"/>
          <w:sz w:val="22"/>
          <w:szCs w:val="22"/>
        </w:rPr>
        <w:t xml:space="preserve">Para quienes no forman parte de ese grupo de grandes instalaciones, Vilar identifica </w:t>
      </w:r>
      <w:r w:rsidRPr="002F3706">
        <w:rPr>
          <w:rStyle w:val="Fuerte"/>
          <w:rFonts w:asciiTheme="minorHAnsi" w:hAnsiTheme="minorHAnsi" w:cstheme="minorHAnsi"/>
          <w:sz w:val="22"/>
          <w:szCs w:val="22"/>
        </w:rPr>
        <w:t>cuatro salidas</w:t>
      </w:r>
      <w:r w:rsidRPr="002F3706">
        <w:rPr>
          <w:rFonts w:asciiTheme="minorHAnsi" w:hAnsiTheme="minorHAnsi" w:cstheme="minorHAnsi"/>
          <w:sz w:val="22"/>
          <w:szCs w:val="22"/>
        </w:rPr>
        <w:t xml:space="preserve">: especializarse en aceites de alto valor añadido (ecológico, cosecha temprana); integrarse en </w:t>
      </w:r>
      <w:r w:rsidRPr="002F3706">
        <w:rPr>
          <w:rStyle w:val="Fuerte"/>
          <w:rFonts w:asciiTheme="minorHAnsi" w:hAnsiTheme="minorHAnsi" w:cstheme="minorHAnsi"/>
          <w:sz w:val="22"/>
          <w:szCs w:val="22"/>
        </w:rPr>
        <w:t>cooperativas de segundo grado</w:t>
      </w:r>
      <w:r w:rsidR="007C1AD5">
        <w:rPr>
          <w:rStyle w:val="Fuerte"/>
          <w:rFonts w:asciiTheme="minorHAnsi" w:hAnsiTheme="minorHAnsi" w:cstheme="minorHAnsi"/>
          <w:sz w:val="22"/>
          <w:szCs w:val="22"/>
        </w:rPr>
        <w:t>,</w:t>
      </w:r>
      <w:r w:rsidRPr="002F3706">
        <w:rPr>
          <w:rFonts w:asciiTheme="minorHAnsi" w:hAnsiTheme="minorHAnsi" w:cstheme="minorHAnsi"/>
          <w:sz w:val="22"/>
          <w:szCs w:val="22"/>
        </w:rPr>
        <w:t xml:space="preserve"> como Jaencoop, Dcoop o el grupo Interoleo para reducir costes y mejorar rentabilidad; reconvertirse en puntos de almacenamiento y transporte hacia almazaras de mayor capacidad </w:t>
      </w:r>
      <w:r w:rsidR="007C1AD5">
        <w:rPr>
          <w:rFonts w:asciiTheme="minorHAnsi" w:hAnsiTheme="minorHAnsi" w:cstheme="minorHAnsi"/>
          <w:sz w:val="22"/>
          <w:szCs w:val="22"/>
        </w:rPr>
        <w:t xml:space="preserve">de molturado </w:t>
      </w:r>
      <w:r w:rsidRPr="002F3706">
        <w:rPr>
          <w:rFonts w:asciiTheme="minorHAnsi" w:hAnsiTheme="minorHAnsi" w:cstheme="minorHAnsi"/>
          <w:sz w:val="22"/>
          <w:szCs w:val="22"/>
        </w:rPr>
        <w:t xml:space="preserve">en un radio de </w:t>
      </w:r>
      <w:r w:rsidRPr="002F3706">
        <w:rPr>
          <w:rStyle w:val="Fuerte"/>
          <w:rFonts w:asciiTheme="minorHAnsi" w:hAnsiTheme="minorHAnsi" w:cstheme="minorHAnsi"/>
          <w:sz w:val="22"/>
          <w:szCs w:val="22"/>
        </w:rPr>
        <w:t>15 kilómetros</w:t>
      </w:r>
      <w:r w:rsidR="007C1AD5">
        <w:rPr>
          <w:rFonts w:asciiTheme="minorHAnsi" w:hAnsiTheme="minorHAnsi" w:cstheme="minorHAnsi"/>
          <w:sz w:val="22"/>
          <w:szCs w:val="22"/>
        </w:rPr>
        <w:t>,</w:t>
      </w:r>
      <w:r w:rsidRPr="002F3706">
        <w:rPr>
          <w:rFonts w:asciiTheme="minorHAnsi" w:hAnsiTheme="minorHAnsi" w:cstheme="minorHAnsi"/>
          <w:sz w:val="22"/>
          <w:szCs w:val="22"/>
        </w:rPr>
        <w:t xml:space="preserve"> o </w:t>
      </w:r>
      <w:r w:rsidRPr="002F3706">
        <w:rPr>
          <w:rStyle w:val="Fuerte"/>
          <w:rFonts w:asciiTheme="minorHAnsi" w:hAnsiTheme="minorHAnsi" w:cstheme="minorHAnsi"/>
          <w:sz w:val="22"/>
          <w:szCs w:val="22"/>
        </w:rPr>
        <w:t>fusionarse con competidores locales</w:t>
      </w:r>
      <w:r w:rsidRPr="002F3706">
        <w:rPr>
          <w:rFonts w:asciiTheme="minorHAnsi" w:hAnsiTheme="minorHAnsi" w:cstheme="minorHAnsi"/>
          <w:sz w:val="22"/>
          <w:szCs w:val="22"/>
        </w:rPr>
        <w:t xml:space="preserve"> en municipios donde la densidad de </w:t>
      </w:r>
      <w:r w:rsidR="007C1AD5">
        <w:rPr>
          <w:rFonts w:asciiTheme="minorHAnsi" w:hAnsiTheme="minorHAnsi" w:cstheme="minorHAnsi"/>
          <w:sz w:val="22"/>
          <w:szCs w:val="22"/>
        </w:rPr>
        <w:t xml:space="preserve">las </w:t>
      </w:r>
      <w:r w:rsidRPr="002F3706">
        <w:rPr>
          <w:rFonts w:asciiTheme="minorHAnsi" w:hAnsiTheme="minorHAnsi" w:cstheme="minorHAnsi"/>
          <w:sz w:val="22"/>
          <w:szCs w:val="22"/>
        </w:rPr>
        <w:t>instalaciones —en algunos casos hasta 15 almazaras— hace inviable la coexistencia de todas ellas.</w:t>
      </w:r>
    </w:p>
    <w:p w14:paraId="0FEED9B0" w14:textId="77777777" w:rsidR="001E744E" w:rsidRPr="001E744E" w:rsidRDefault="001E744E" w:rsidP="00316E04">
      <w:pPr>
        <w:jc w:val="both"/>
        <w:rPr>
          <w:rFonts w:eastAsia="Arial" w:cstheme="minorHAnsi"/>
          <w:lang w:val="es-ES"/>
        </w:rPr>
      </w:pPr>
      <w:r w:rsidRPr="001E744E">
        <w:rPr>
          <w:rFonts w:eastAsia="Arial" w:cstheme="minorHAnsi"/>
          <w:b/>
          <w:bCs/>
          <w:lang w:val="es-ES"/>
        </w:rPr>
        <w:t>Más consumidores, menos productores</w:t>
      </w:r>
    </w:p>
    <w:p w14:paraId="7E85E36C" w14:textId="77777777" w:rsidR="007C1AD5" w:rsidRDefault="00000BAD" w:rsidP="00316E04">
      <w:pPr>
        <w:jc w:val="both"/>
        <w:rPr>
          <w:rFonts w:eastAsia="Arial" w:cstheme="minorHAnsi"/>
        </w:rPr>
      </w:pPr>
      <w:r w:rsidRPr="00000BAD">
        <w:rPr>
          <w:rFonts w:eastAsia="Arial" w:cstheme="minorHAnsi"/>
        </w:rPr>
        <w:t xml:space="preserve">El diagnóstico conjunto de Laajimi y Vilar apunta hacia un mercado más globalizado en el consumo </w:t>
      </w:r>
      <w:r w:rsidR="007C1AD5">
        <w:rPr>
          <w:rFonts w:eastAsia="Arial" w:cstheme="minorHAnsi"/>
        </w:rPr>
        <w:t>-</w:t>
      </w:r>
      <w:r w:rsidRPr="00000BAD">
        <w:rPr>
          <w:rFonts w:eastAsia="Arial" w:cstheme="minorHAnsi"/>
        </w:rPr>
        <w:t>con EE.UU., Brasil y Asia como nuevos actores clave</w:t>
      </w:r>
      <w:r w:rsidR="007C1AD5">
        <w:rPr>
          <w:rFonts w:eastAsia="Arial" w:cstheme="minorHAnsi"/>
        </w:rPr>
        <w:t xml:space="preserve">- </w:t>
      </w:r>
      <w:r w:rsidRPr="00000BAD">
        <w:rPr>
          <w:rFonts w:eastAsia="Arial" w:cstheme="minorHAnsi"/>
        </w:rPr>
        <w:t xml:space="preserve">y más concentrado en la producción. Las dos tendencias no son independientes: el auge de los nuevos mercados exige una oferta capaz de responder en volumen, calidad y trazabilidad, condiciones que solo los operadores de mayor escala podrán satisfacer de forma competitiva a largo plazo. </w:t>
      </w:r>
    </w:p>
    <w:p w14:paraId="19FB947B" w14:textId="3AB2F5A1" w:rsidR="00000BAD" w:rsidRDefault="00000BAD" w:rsidP="00316E04">
      <w:pPr>
        <w:jc w:val="both"/>
        <w:rPr>
          <w:rFonts w:eastAsia="Arial" w:cstheme="minorHAnsi"/>
        </w:rPr>
      </w:pPr>
      <w:r w:rsidRPr="00000BAD">
        <w:rPr>
          <w:rFonts w:eastAsia="Arial" w:cstheme="minorHAnsi"/>
        </w:rPr>
        <w:t>Para los mercados emergentes, las oportunidades son estructurales, pero exigen posicionamiento premium y una narrativa coherente en torno a la salud y el origen. Para el tejido productor tradicional, la señal es de urgencia: la transformación ya está en marcha y no espera, y las opciones son tres: especializarse, integrarse o desaparecer</w:t>
      </w:r>
      <w:r>
        <w:rPr>
          <w:rFonts w:eastAsia="Arial" w:cstheme="minorHAnsi"/>
        </w:rPr>
        <w:t xml:space="preserve">. </w:t>
      </w:r>
    </w:p>
    <w:p w14:paraId="29C11135" w14:textId="77777777" w:rsidR="00356803" w:rsidRDefault="00356803" w:rsidP="00356803">
      <w:pPr>
        <w:pBdr>
          <w:bottom w:val="single" w:sz="4" w:space="4" w:color="5A7A35"/>
        </w:pBdr>
        <w:spacing w:before="200" w:after="100"/>
        <w:jc w:val="both"/>
        <w:rPr>
          <w:rFonts w:cstheme="minorHAnsi"/>
          <w:lang w:val="es-ES"/>
        </w:rPr>
      </w:pPr>
      <w:r w:rsidRPr="00B557F0">
        <w:rPr>
          <w:rFonts w:cstheme="minorHAnsi"/>
          <w:lang w:val="es-ES"/>
        </w:rPr>
        <w:t>El Congreso cuenta con el respaldo institucional del Consejo Oleícola Internacional (COI), el CIHEAM Zaragoza y la Fundación Dieta Mediterránea, junto a entidades públicas como el Ministerio de Agricultura y Asuntos Marítimos de Portugal, la Junta de Castilla-La Mancha ('Campo y Alma'), la Generalitat de Catalunya</w:t>
      </w:r>
      <w:r>
        <w:rPr>
          <w:rFonts w:cstheme="minorHAnsi"/>
          <w:lang w:val="es-ES"/>
        </w:rPr>
        <w:t>, la Junta de Andalucía</w:t>
      </w:r>
      <w:r w:rsidRPr="00B557F0">
        <w:rPr>
          <w:rFonts w:cstheme="minorHAnsi"/>
          <w:lang w:val="es-ES"/>
        </w:rPr>
        <w:t xml:space="preserve"> y el IMIDRA.</w:t>
      </w:r>
    </w:p>
    <w:p w14:paraId="6EBDD9E5" w14:textId="77777777" w:rsidR="00356803" w:rsidRDefault="00356803" w:rsidP="00356803">
      <w:pPr>
        <w:pBdr>
          <w:bottom w:val="single" w:sz="4" w:space="4" w:color="5A7A35"/>
        </w:pBdr>
        <w:spacing w:before="200" w:after="100"/>
        <w:jc w:val="both"/>
        <w:rPr>
          <w:rFonts w:cstheme="minorHAnsi"/>
          <w:lang w:val="es-ES"/>
        </w:rPr>
      </w:pPr>
      <w:r w:rsidRPr="00B557F0">
        <w:rPr>
          <w:rFonts w:cstheme="minorHAnsi"/>
          <w:lang w:val="es-ES"/>
        </w:rPr>
        <w:t>En el ámbito privado respaldan, por ahora, esta segunda edición, además de Olivum, entidades como AgroBank,</w:t>
      </w:r>
      <w:r>
        <w:rPr>
          <w:rFonts w:cstheme="minorHAnsi"/>
          <w:lang w:val="es-ES"/>
        </w:rPr>
        <w:t xml:space="preserve"> BPI de Grupo Caixabank,</w:t>
      </w:r>
      <w:r w:rsidRPr="00B557F0">
        <w:rPr>
          <w:rFonts w:cstheme="minorHAnsi"/>
          <w:lang w:val="es-ES"/>
        </w:rPr>
        <w:t xml:space="preserve"> la Interprofesional del Aceite de Oliva Español, GEA Group, Novonesis-Univar Solutions, APOAC (Associação para a Promoção do Olival e Azeite de Aire e Candeeiros) con su marca comercial ‘Olivedos do Carso’, Adsaica (Associação de Desenvolvimento das Serras de Aire e Candeeiros), Feria de Zaragoza (ENOMAQ), Kubota, Dazeite y Siliker.</w:t>
      </w:r>
    </w:p>
    <w:p w14:paraId="7A330FA8" w14:textId="77777777" w:rsidR="00F37A17" w:rsidRDefault="00356803" w:rsidP="00F37A17">
      <w:pPr>
        <w:pBdr>
          <w:bottom w:val="single" w:sz="4" w:space="4" w:color="5A7A35"/>
        </w:pBdr>
        <w:spacing w:before="200" w:after="100"/>
        <w:jc w:val="both"/>
        <w:rPr>
          <w:rFonts w:cstheme="minorHAnsi"/>
          <w:b/>
          <w:bCs/>
          <w:sz w:val="20"/>
          <w:szCs w:val="20"/>
        </w:rPr>
      </w:pPr>
      <w:r w:rsidRPr="00834F0E">
        <w:rPr>
          <w:rFonts w:cstheme="minorHAnsi"/>
          <w:b/>
          <w:bCs/>
          <w:sz w:val="20"/>
          <w:szCs w:val="20"/>
        </w:rPr>
        <w:lastRenderedPageBreak/>
        <w:t>Sobre el OOWC:</w:t>
      </w:r>
    </w:p>
    <w:p w14:paraId="3F7843E1" w14:textId="3F43BBE9" w:rsidR="00B52847" w:rsidRDefault="00AC2C2F" w:rsidP="00AC2C2F">
      <w:pPr>
        <w:pBdr>
          <w:bottom w:val="single" w:sz="4" w:space="4" w:color="5A7A35"/>
        </w:pBdr>
        <w:spacing w:before="200" w:after="100"/>
        <w:jc w:val="both"/>
      </w:pPr>
      <w:r w:rsidRPr="00834F0E">
        <w:rPr>
          <w:rFonts w:eastAsia="Times New Roman" w:cstheme="minorHAnsi"/>
          <w:color w:val="333333"/>
          <w:sz w:val="20"/>
          <w:szCs w:val="20"/>
          <w:lang w:eastAsia="es-ES_tradnl"/>
        </w:rPr>
        <w:t>El </w:t>
      </w:r>
      <w:r w:rsidRPr="00834F0E">
        <w:rPr>
          <w:rFonts w:eastAsia="Times New Roman" w:cstheme="minorHAnsi"/>
          <w:b/>
          <w:bCs/>
          <w:color w:val="333333"/>
          <w:sz w:val="20"/>
          <w:szCs w:val="20"/>
          <w:lang w:eastAsia="es-ES_tradnl"/>
        </w:rPr>
        <w:t>Congreso Mundial del Aceite de Oliva</w:t>
      </w:r>
      <w:r w:rsidRPr="00834F0E">
        <w:rPr>
          <w:rFonts w:eastAsia="Times New Roman" w:cstheme="minorHAnsi"/>
          <w:color w:val="333333"/>
          <w:sz w:val="20"/>
          <w:szCs w:val="20"/>
          <w:lang w:eastAsia="es-ES_tradnl"/>
        </w:rPr>
        <w:t xml:space="preserve"> es un evento que </w:t>
      </w:r>
      <w:r>
        <w:rPr>
          <w:rFonts w:eastAsia="Times New Roman" w:cstheme="minorHAnsi"/>
          <w:color w:val="333333"/>
          <w:sz w:val="20"/>
          <w:szCs w:val="20"/>
          <w:lang w:eastAsia="es-ES_tradnl"/>
        </w:rPr>
        <w:t>reúne</w:t>
      </w:r>
      <w:r w:rsidRPr="00834F0E">
        <w:rPr>
          <w:rFonts w:eastAsia="Times New Roman" w:cstheme="minorHAnsi"/>
          <w:color w:val="333333"/>
          <w:sz w:val="20"/>
          <w:szCs w:val="20"/>
          <w:lang w:eastAsia="es-ES_tradnl"/>
        </w:rPr>
        <w:t xml:space="preserve"> a los principales ponentes a nivel mundial en cada materia, generando conocimiento sobre las novedades e innovaciones existentes en cada eslabón de la cadena de valor. </w:t>
      </w:r>
      <w:r>
        <w:rPr>
          <w:rFonts w:eastAsia="Times New Roman" w:cstheme="minorHAnsi"/>
          <w:color w:val="333333"/>
          <w:sz w:val="20"/>
          <w:szCs w:val="20"/>
          <w:lang w:eastAsia="es-ES_tradnl"/>
        </w:rPr>
        <w:t>O</w:t>
      </w:r>
      <w:r w:rsidRPr="00834F0E">
        <w:rPr>
          <w:rFonts w:eastAsia="Times New Roman" w:cstheme="minorHAnsi"/>
          <w:color w:val="333333"/>
          <w:sz w:val="20"/>
          <w:szCs w:val="20"/>
          <w:lang w:eastAsia="es-ES_tradnl"/>
        </w:rPr>
        <w:t>peradores del sector a nivel mundial</w:t>
      </w:r>
      <w:r>
        <w:rPr>
          <w:rFonts w:eastAsia="Times New Roman" w:cstheme="minorHAnsi"/>
          <w:color w:val="333333"/>
          <w:sz w:val="20"/>
          <w:szCs w:val="20"/>
          <w:lang w:eastAsia="es-ES_tradnl"/>
        </w:rPr>
        <w:t xml:space="preserve"> se darán cita en Lisboa</w:t>
      </w:r>
      <w:r w:rsidRPr="00834F0E">
        <w:rPr>
          <w:rFonts w:eastAsia="Times New Roman" w:cstheme="minorHAnsi"/>
          <w:color w:val="333333"/>
          <w:sz w:val="20"/>
          <w:szCs w:val="20"/>
          <w:lang w:eastAsia="es-ES_tradnl"/>
        </w:rPr>
        <w:t xml:space="preserve"> con el objetivo de aunar voluntades para seguir trabajando todos de forma conjunta. </w:t>
      </w:r>
      <w:r w:rsidRPr="00834F0E">
        <w:rPr>
          <w:sz w:val="20"/>
          <w:szCs w:val="20"/>
        </w:rPr>
        <w:t xml:space="preserve">Más información en: </w:t>
      </w:r>
      <w:hyperlink r:id="rId7" w:history="1">
        <w:r w:rsidRPr="0004128B">
          <w:rPr>
            <w:rStyle w:val="Hipervnculo"/>
            <w:sz w:val="20"/>
            <w:szCs w:val="20"/>
          </w:rPr>
          <w:t>www.oliveoilworldcongress.com</w:t>
        </w:r>
      </w:hyperlink>
      <w:r>
        <w:rPr>
          <w:sz w:val="20"/>
          <w:szCs w:val="20"/>
        </w:rPr>
        <w:t>.</w:t>
      </w:r>
    </w:p>
    <w:sectPr w:rsidR="00B52847" w:rsidSect="0048397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B9B2" w14:textId="77777777" w:rsidR="008B1B25" w:rsidRDefault="008B1B25" w:rsidP="00E83E50">
      <w:pPr>
        <w:spacing w:after="0" w:line="240" w:lineRule="auto"/>
      </w:pPr>
      <w:r>
        <w:separator/>
      </w:r>
    </w:p>
  </w:endnote>
  <w:endnote w:type="continuationSeparator" w:id="0">
    <w:p w14:paraId="1028CAE1" w14:textId="77777777" w:rsidR="008B1B25" w:rsidRDefault="008B1B25" w:rsidP="00E8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A08A" w14:textId="77777777" w:rsidR="0069392A" w:rsidRDefault="0087784B">
    <w:pPr>
      <w:pStyle w:val="Piedepgina"/>
    </w:pPr>
    <w:r w:rsidRPr="00EF4CF9">
      <w:rPr>
        <w:noProof/>
        <w:sz w:val="18"/>
        <w:szCs w:val="18"/>
        <w:lang w:val="es-ES" w:eastAsia="es-ES"/>
      </w:rPr>
      <w:drawing>
        <wp:anchor distT="0" distB="0" distL="114300" distR="114300" simplePos="0" relativeHeight="251659264" behindDoc="0" locked="0" layoutInCell="1" allowOverlap="1" wp14:anchorId="29AA2D09" wp14:editId="008E6C91">
          <wp:simplePos x="0" y="0"/>
          <wp:positionH relativeFrom="margin">
            <wp:posOffset>-657860</wp:posOffset>
          </wp:positionH>
          <wp:positionV relativeFrom="margin">
            <wp:posOffset>7716578</wp:posOffset>
          </wp:positionV>
          <wp:extent cx="1000760" cy="541655"/>
          <wp:effectExtent l="0" t="0" r="0" b="0"/>
          <wp:wrapSquare wrapText="bothSides"/>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p>
  <w:p w14:paraId="1EAC9EC2" w14:textId="0037249A" w:rsidR="0069392A" w:rsidRPr="002B29C3" w:rsidRDefault="0087784B" w:rsidP="0087784B">
    <w:pPr>
      <w:jc w:val="center"/>
      <w:rPr>
        <w:lang w:val="es-ES"/>
      </w:rPr>
    </w:pPr>
    <w:r w:rsidRPr="00EF4CF9">
      <w:rPr>
        <w:noProof/>
        <w:sz w:val="18"/>
        <w:szCs w:val="18"/>
        <w:lang w:val="es-ES" w:eastAsia="es-ES"/>
      </w:rPr>
      <w:drawing>
        <wp:anchor distT="0" distB="0" distL="114300" distR="114300" simplePos="0" relativeHeight="251664384" behindDoc="0" locked="0" layoutInCell="1" allowOverlap="1" wp14:anchorId="72E7B64A" wp14:editId="3E4916E4">
          <wp:simplePos x="0" y="0"/>
          <wp:positionH relativeFrom="margin">
            <wp:posOffset>5036127</wp:posOffset>
          </wp:positionH>
          <wp:positionV relativeFrom="margin">
            <wp:posOffset>7761085</wp:posOffset>
          </wp:positionV>
          <wp:extent cx="1000760" cy="541655"/>
          <wp:effectExtent l="0" t="0" r="0" b="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87784B">
      <w:rPr>
        <w:noProof/>
        <w:sz w:val="18"/>
        <w:szCs w:val="18"/>
        <w:lang w:val="es-ES" w:eastAsia="es-ES"/>
      </w:rPr>
      <w:drawing>
        <wp:anchor distT="0" distB="0" distL="114300" distR="114300" simplePos="0" relativeHeight="251662336" behindDoc="0" locked="0" layoutInCell="1" allowOverlap="1" wp14:anchorId="14FFFE53" wp14:editId="3BCC734B">
          <wp:simplePos x="0" y="0"/>
          <wp:positionH relativeFrom="margin">
            <wp:posOffset>5189220</wp:posOffset>
          </wp:positionH>
          <wp:positionV relativeFrom="margin">
            <wp:posOffset>8891270</wp:posOffset>
          </wp:positionV>
          <wp:extent cx="1000760" cy="541655"/>
          <wp:effectExtent l="0" t="0" r="0" b="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Pr="0087784B">
      <w:rPr>
        <w:noProof/>
        <w:sz w:val="18"/>
        <w:szCs w:val="18"/>
        <w:lang w:val="es-ES" w:eastAsia="es-ES"/>
      </w:rPr>
      <w:drawing>
        <wp:anchor distT="0" distB="0" distL="114300" distR="114300" simplePos="0" relativeHeight="251661312" behindDoc="0" locked="0" layoutInCell="1" allowOverlap="1" wp14:anchorId="2D6FE67B" wp14:editId="38E9B52E">
          <wp:simplePos x="0" y="0"/>
          <wp:positionH relativeFrom="margin">
            <wp:posOffset>-556260</wp:posOffset>
          </wp:positionH>
          <wp:positionV relativeFrom="margin">
            <wp:posOffset>8891270</wp:posOffset>
          </wp:positionV>
          <wp:extent cx="1000760" cy="541655"/>
          <wp:effectExtent l="0" t="0" r="0" b="0"/>
          <wp:wrapSquare wrapText="bothSides"/>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0760" cy="541655"/>
                  </a:xfrm>
                  <a:prstGeom prst="rect">
                    <a:avLst/>
                  </a:prstGeom>
                </pic:spPr>
              </pic:pic>
            </a:graphicData>
          </a:graphic>
        </wp:anchor>
      </w:drawing>
    </w:r>
    <w:r w:rsidR="00356803" w:rsidRPr="00356803">
      <w:rPr>
        <w:noProof/>
        <w:sz w:val="18"/>
        <w:szCs w:val="18"/>
        <w:lang w:val="es-ES" w:eastAsia="es-ES"/>
      </w:rPr>
      <w:t>Dep</w:t>
    </w:r>
    <w:r w:rsidR="00356803" w:rsidRPr="002B29C3">
      <w:rPr>
        <w:noProof/>
        <w:sz w:val="18"/>
        <w:szCs w:val="18"/>
        <w:lang w:val="es-ES" w:eastAsia="es-ES"/>
      </w:rPr>
      <w:t>artamento de Prensa</w:t>
    </w:r>
    <w:r w:rsidR="00846C08" w:rsidRPr="002B29C3">
      <w:rPr>
        <w:rFonts w:ascii="Calibri" w:eastAsia="Calibri" w:hAnsi="Calibri" w:cs="Calibri"/>
        <w:b/>
        <w:bCs/>
        <w:kern w:val="36"/>
        <w:sz w:val="20"/>
        <w:szCs w:val="20"/>
        <w:lang w:val="es-ES" w:eastAsia="es-ES_tradnl"/>
      </w:rPr>
      <w:t xml:space="preserve"> del Olive Oil World Congress</w:t>
    </w:r>
    <w:r w:rsidRPr="002B29C3">
      <w:rPr>
        <w:rFonts w:ascii="Calibri" w:eastAsia="Calibri" w:hAnsi="Calibri" w:cs="Calibri"/>
        <w:bCs/>
        <w:kern w:val="36"/>
        <w:sz w:val="20"/>
        <w:szCs w:val="20"/>
        <w:lang w:val="es-ES" w:eastAsia="es-ES_tradnl"/>
      </w:rPr>
      <w:t xml:space="preserve">- 917217929 </w:t>
    </w:r>
    <w:hyperlink r:id="rId2" w:history="1">
      <w:r w:rsidRPr="002B29C3">
        <w:rPr>
          <w:rFonts w:ascii="Calibri" w:eastAsia="Calibri" w:hAnsi="Calibri" w:cs="Calibri"/>
          <w:b/>
          <w:bCs/>
          <w:color w:val="0000FF"/>
          <w:kern w:val="36"/>
          <w:sz w:val="20"/>
          <w:szCs w:val="20"/>
          <w:u w:val="single"/>
          <w:lang w:val="es-ES" w:eastAsia="es-ES_tradnl"/>
        </w:rPr>
        <w:t>info@oliveoilwc.com</w:t>
      </w:r>
    </w:hyperlink>
    <w:hyperlink r:id="rId3" w:history="1">
      <w:r w:rsidRPr="00356803">
        <w:rPr>
          <w:color w:val="0000FF"/>
          <w:sz w:val="20"/>
          <w:szCs w:val="20"/>
          <w:u w:val="single"/>
          <w:lang w:val="es-ES"/>
        </w:rPr>
        <w:t>www.oliveoilworldcongress.com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96B" w14:textId="77777777" w:rsidR="008B1B25" w:rsidRDefault="008B1B25" w:rsidP="00E83E50">
      <w:pPr>
        <w:spacing w:after="0" w:line="240" w:lineRule="auto"/>
      </w:pPr>
      <w:r>
        <w:separator/>
      </w:r>
    </w:p>
  </w:footnote>
  <w:footnote w:type="continuationSeparator" w:id="0">
    <w:p w14:paraId="2BC2075F" w14:textId="77777777" w:rsidR="008B1B25" w:rsidRDefault="008B1B25" w:rsidP="00E83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EDAC" w14:textId="77777777" w:rsidR="00E83E50" w:rsidRDefault="00E83E50" w:rsidP="00E83E50">
    <w:pPr>
      <w:pStyle w:val="Encabezado"/>
      <w:jc w:val="center"/>
    </w:pPr>
    <w:r>
      <w:rPr>
        <w:noProof/>
        <w:lang w:val="es-ES" w:eastAsia="es-ES"/>
      </w:rPr>
      <w:drawing>
        <wp:inline distT="0" distB="0" distL="0" distR="0" wp14:anchorId="5B578286" wp14:editId="47372599">
          <wp:extent cx="2702560" cy="1463463"/>
          <wp:effectExtent l="0" t="0" r="2540" b="3810"/>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709938" cy="1467458"/>
                  </a:xfrm>
                  <a:prstGeom prst="rect">
                    <a:avLst/>
                  </a:prstGeom>
                </pic:spPr>
              </pic:pic>
            </a:graphicData>
          </a:graphic>
        </wp:inline>
      </w:drawing>
    </w:r>
  </w:p>
  <w:p w14:paraId="69C8B221" w14:textId="77777777" w:rsidR="00E83E50" w:rsidRDefault="00E83E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10A"/>
    <w:multiLevelType w:val="multilevel"/>
    <w:tmpl w:val="A87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4726"/>
    <w:multiLevelType w:val="hybridMultilevel"/>
    <w:tmpl w:val="FB70B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6E1F0F"/>
    <w:multiLevelType w:val="multilevel"/>
    <w:tmpl w:val="4E4C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C10BC"/>
    <w:multiLevelType w:val="hybridMultilevel"/>
    <w:tmpl w:val="392CA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4C57CF"/>
    <w:multiLevelType w:val="hybridMultilevel"/>
    <w:tmpl w:val="C18A6D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CE41E75"/>
    <w:multiLevelType w:val="hybridMultilevel"/>
    <w:tmpl w:val="4246F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38397D"/>
    <w:multiLevelType w:val="hybridMultilevel"/>
    <w:tmpl w:val="FF2034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98439F"/>
    <w:multiLevelType w:val="hybridMultilevel"/>
    <w:tmpl w:val="D91497D4"/>
    <w:lvl w:ilvl="0" w:tplc="C0C01CA8">
      <w:start w:val="1"/>
      <w:numFmt w:val="bullet"/>
      <w:lvlText w:val="•"/>
      <w:lvlJc w:val="left"/>
      <w:pPr>
        <w:ind w:left="720" w:hanging="360"/>
      </w:pPr>
    </w:lvl>
    <w:lvl w:ilvl="1" w:tplc="A4062046">
      <w:numFmt w:val="decimal"/>
      <w:lvlText w:val=""/>
      <w:lvlJc w:val="left"/>
      <w:pPr>
        <w:ind w:left="0" w:firstLine="0"/>
      </w:pPr>
    </w:lvl>
    <w:lvl w:ilvl="2" w:tplc="A2B234C2">
      <w:numFmt w:val="decimal"/>
      <w:lvlText w:val=""/>
      <w:lvlJc w:val="left"/>
      <w:pPr>
        <w:ind w:left="0" w:firstLine="0"/>
      </w:pPr>
    </w:lvl>
    <w:lvl w:ilvl="3" w:tplc="4B7EA214">
      <w:numFmt w:val="decimal"/>
      <w:lvlText w:val=""/>
      <w:lvlJc w:val="left"/>
      <w:pPr>
        <w:ind w:left="0" w:firstLine="0"/>
      </w:pPr>
    </w:lvl>
    <w:lvl w:ilvl="4" w:tplc="54FE1660">
      <w:numFmt w:val="decimal"/>
      <w:lvlText w:val=""/>
      <w:lvlJc w:val="left"/>
      <w:pPr>
        <w:ind w:left="0" w:firstLine="0"/>
      </w:pPr>
    </w:lvl>
    <w:lvl w:ilvl="5" w:tplc="B082224A">
      <w:numFmt w:val="decimal"/>
      <w:lvlText w:val=""/>
      <w:lvlJc w:val="left"/>
      <w:pPr>
        <w:ind w:left="0" w:firstLine="0"/>
      </w:pPr>
    </w:lvl>
    <w:lvl w:ilvl="6" w:tplc="C65E75DE">
      <w:numFmt w:val="decimal"/>
      <w:lvlText w:val=""/>
      <w:lvlJc w:val="left"/>
      <w:pPr>
        <w:ind w:left="0" w:firstLine="0"/>
      </w:pPr>
    </w:lvl>
    <w:lvl w:ilvl="7" w:tplc="4484DAC2">
      <w:numFmt w:val="decimal"/>
      <w:lvlText w:val=""/>
      <w:lvlJc w:val="left"/>
      <w:pPr>
        <w:ind w:left="0" w:firstLine="0"/>
      </w:pPr>
    </w:lvl>
    <w:lvl w:ilvl="8" w:tplc="EFB248E0">
      <w:numFmt w:val="decimal"/>
      <w:lvlText w:val=""/>
      <w:lvlJc w:val="left"/>
      <w:pPr>
        <w:ind w:left="0" w:firstLine="0"/>
      </w:pPr>
    </w:lvl>
  </w:abstractNum>
  <w:abstractNum w:abstractNumId="8" w15:restartNumberingAfterBreak="0">
    <w:nsid w:val="358C0406"/>
    <w:multiLevelType w:val="hybridMultilevel"/>
    <w:tmpl w:val="E5AA5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90944A8"/>
    <w:multiLevelType w:val="hybridMultilevel"/>
    <w:tmpl w:val="103AC052"/>
    <w:lvl w:ilvl="0" w:tplc="012895E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1D95594"/>
    <w:multiLevelType w:val="hybridMultilevel"/>
    <w:tmpl w:val="CE8AFBDE"/>
    <w:lvl w:ilvl="0" w:tplc="012895E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667237"/>
    <w:multiLevelType w:val="hybridMultilevel"/>
    <w:tmpl w:val="9CECA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6A57C09"/>
    <w:multiLevelType w:val="hybridMultilevel"/>
    <w:tmpl w:val="7CE26B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E6644B"/>
    <w:multiLevelType w:val="multilevel"/>
    <w:tmpl w:val="9A14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4D2A94"/>
    <w:multiLevelType w:val="hybridMultilevel"/>
    <w:tmpl w:val="3EB4D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4143F6B"/>
    <w:multiLevelType w:val="hybridMultilevel"/>
    <w:tmpl w:val="33DCF1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74961E9"/>
    <w:multiLevelType w:val="multilevel"/>
    <w:tmpl w:val="009A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0D5087"/>
    <w:multiLevelType w:val="hybridMultilevel"/>
    <w:tmpl w:val="A3F6C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C0C0DFB"/>
    <w:multiLevelType w:val="hybridMultilevel"/>
    <w:tmpl w:val="725250D0"/>
    <w:lvl w:ilvl="0" w:tplc="C9F8D76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1BD589A"/>
    <w:multiLevelType w:val="hybridMultilevel"/>
    <w:tmpl w:val="A66ABD5A"/>
    <w:lvl w:ilvl="0" w:tplc="FFFFFFFF">
      <w:start w:val="1"/>
      <w:numFmt w:val="bullet"/>
      <w:lvlText w:val="•"/>
      <w:lvlJc w:val="left"/>
    </w:lvl>
    <w:lvl w:ilvl="1" w:tplc="012895E6">
      <w:numFmt w:val="bullet"/>
      <w:lvlText w:val="-"/>
      <w:lvlJc w:val="left"/>
      <w:pPr>
        <w:ind w:left="360" w:hanging="360"/>
      </w:pPr>
      <w:rPr>
        <w:rFonts w:ascii="Calibri" w:eastAsia="Times New Roman" w:hAnsi="Calibri"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83A4D82"/>
    <w:multiLevelType w:val="hybridMultilevel"/>
    <w:tmpl w:val="981AC906"/>
    <w:lvl w:ilvl="0" w:tplc="5F6C08D0">
      <w:start w:val="1"/>
      <w:numFmt w:val="bullet"/>
      <w:lvlText w:val="–"/>
      <w:lvlJc w:val="left"/>
      <w:pPr>
        <w:ind w:left="540" w:hanging="360"/>
      </w:pPr>
    </w:lvl>
    <w:lvl w:ilvl="1" w:tplc="91D04A4A">
      <w:numFmt w:val="decimal"/>
      <w:lvlText w:val=""/>
      <w:lvlJc w:val="left"/>
    </w:lvl>
    <w:lvl w:ilvl="2" w:tplc="81D0AE26">
      <w:numFmt w:val="decimal"/>
      <w:lvlText w:val=""/>
      <w:lvlJc w:val="left"/>
    </w:lvl>
    <w:lvl w:ilvl="3" w:tplc="7C147E10">
      <w:numFmt w:val="decimal"/>
      <w:lvlText w:val=""/>
      <w:lvlJc w:val="left"/>
    </w:lvl>
    <w:lvl w:ilvl="4" w:tplc="ACB2DF1A">
      <w:numFmt w:val="decimal"/>
      <w:lvlText w:val=""/>
      <w:lvlJc w:val="left"/>
    </w:lvl>
    <w:lvl w:ilvl="5" w:tplc="74C0461A">
      <w:numFmt w:val="decimal"/>
      <w:lvlText w:val=""/>
      <w:lvlJc w:val="left"/>
    </w:lvl>
    <w:lvl w:ilvl="6" w:tplc="AF861A0A">
      <w:numFmt w:val="decimal"/>
      <w:lvlText w:val=""/>
      <w:lvlJc w:val="left"/>
    </w:lvl>
    <w:lvl w:ilvl="7" w:tplc="4036C434">
      <w:numFmt w:val="decimal"/>
      <w:lvlText w:val=""/>
      <w:lvlJc w:val="left"/>
    </w:lvl>
    <w:lvl w:ilvl="8" w:tplc="B8D8E3E4">
      <w:numFmt w:val="decimal"/>
      <w:lvlText w:val=""/>
      <w:lvlJc w:val="left"/>
    </w:lvl>
  </w:abstractNum>
  <w:abstractNum w:abstractNumId="21" w15:restartNumberingAfterBreak="0">
    <w:nsid w:val="6CFC3CAF"/>
    <w:multiLevelType w:val="hybridMultilevel"/>
    <w:tmpl w:val="7398F9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FB71CE3"/>
    <w:multiLevelType w:val="hybridMultilevel"/>
    <w:tmpl w:val="BF7217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69759678">
    <w:abstractNumId w:val="0"/>
  </w:num>
  <w:num w:numId="2" w16cid:durableId="1215461583">
    <w:abstractNumId w:val="2"/>
  </w:num>
  <w:num w:numId="3" w16cid:durableId="706830501">
    <w:abstractNumId w:val="19"/>
  </w:num>
  <w:num w:numId="4" w16cid:durableId="1537044189">
    <w:abstractNumId w:val="9"/>
  </w:num>
  <w:num w:numId="5" w16cid:durableId="727843233">
    <w:abstractNumId w:val="10"/>
  </w:num>
  <w:num w:numId="6" w16cid:durableId="781266856">
    <w:abstractNumId w:val="14"/>
  </w:num>
  <w:num w:numId="7" w16cid:durableId="785737399">
    <w:abstractNumId w:val="18"/>
  </w:num>
  <w:num w:numId="8" w16cid:durableId="994845924">
    <w:abstractNumId w:val="17"/>
  </w:num>
  <w:num w:numId="9" w16cid:durableId="712076446">
    <w:abstractNumId w:val="1"/>
  </w:num>
  <w:num w:numId="10" w16cid:durableId="922489301">
    <w:abstractNumId w:val="11"/>
  </w:num>
  <w:num w:numId="11" w16cid:durableId="1589923105">
    <w:abstractNumId w:val="8"/>
  </w:num>
  <w:num w:numId="12" w16cid:durableId="78790489">
    <w:abstractNumId w:val="15"/>
  </w:num>
  <w:num w:numId="13" w16cid:durableId="603071737">
    <w:abstractNumId w:val="21"/>
  </w:num>
  <w:num w:numId="14" w16cid:durableId="45035914">
    <w:abstractNumId w:val="4"/>
  </w:num>
  <w:num w:numId="15" w16cid:durableId="318580035">
    <w:abstractNumId w:val="22"/>
  </w:num>
  <w:num w:numId="16" w16cid:durableId="1106928184">
    <w:abstractNumId w:val="6"/>
  </w:num>
  <w:num w:numId="17" w16cid:durableId="1138763677">
    <w:abstractNumId w:val="13"/>
  </w:num>
  <w:num w:numId="18" w16cid:durableId="123425299">
    <w:abstractNumId w:val="20"/>
    <w:lvlOverride w:ilvl="0">
      <w:startOverride w:val="1"/>
    </w:lvlOverride>
  </w:num>
  <w:num w:numId="19" w16cid:durableId="843712961">
    <w:abstractNumId w:val="12"/>
  </w:num>
  <w:num w:numId="20" w16cid:durableId="2114474013">
    <w:abstractNumId w:val="7"/>
  </w:num>
  <w:num w:numId="21" w16cid:durableId="563107486">
    <w:abstractNumId w:val="7"/>
  </w:num>
  <w:num w:numId="22" w16cid:durableId="1274896744">
    <w:abstractNumId w:val="16"/>
  </w:num>
  <w:num w:numId="23" w16cid:durableId="1288976478">
    <w:abstractNumId w:val="5"/>
  </w:num>
  <w:num w:numId="24" w16cid:durableId="515467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42"/>
    <w:rsid w:val="00000BAD"/>
    <w:rsid w:val="00005EB0"/>
    <w:rsid w:val="00006A78"/>
    <w:rsid w:val="000132DE"/>
    <w:rsid w:val="00013B8C"/>
    <w:rsid w:val="00014AFE"/>
    <w:rsid w:val="00015C53"/>
    <w:rsid w:val="0002057D"/>
    <w:rsid w:val="0002287D"/>
    <w:rsid w:val="00031325"/>
    <w:rsid w:val="0003212E"/>
    <w:rsid w:val="00041056"/>
    <w:rsid w:val="0004236C"/>
    <w:rsid w:val="00042380"/>
    <w:rsid w:val="000441A9"/>
    <w:rsid w:val="00051A4C"/>
    <w:rsid w:val="000529D1"/>
    <w:rsid w:val="00052BD8"/>
    <w:rsid w:val="00053227"/>
    <w:rsid w:val="000534F5"/>
    <w:rsid w:val="0006277D"/>
    <w:rsid w:val="00065D16"/>
    <w:rsid w:val="00067262"/>
    <w:rsid w:val="00070321"/>
    <w:rsid w:val="0007450C"/>
    <w:rsid w:val="00075058"/>
    <w:rsid w:val="00075CB9"/>
    <w:rsid w:val="000761AD"/>
    <w:rsid w:val="000774C6"/>
    <w:rsid w:val="0008062E"/>
    <w:rsid w:val="00082A96"/>
    <w:rsid w:val="0008404D"/>
    <w:rsid w:val="000871F5"/>
    <w:rsid w:val="000900C2"/>
    <w:rsid w:val="00090C56"/>
    <w:rsid w:val="00093D24"/>
    <w:rsid w:val="000943DF"/>
    <w:rsid w:val="00094D3B"/>
    <w:rsid w:val="000A1A75"/>
    <w:rsid w:val="000A1B49"/>
    <w:rsid w:val="000B071B"/>
    <w:rsid w:val="000B3546"/>
    <w:rsid w:val="000B36D6"/>
    <w:rsid w:val="000B4B9A"/>
    <w:rsid w:val="000B6521"/>
    <w:rsid w:val="000C0D5A"/>
    <w:rsid w:val="000C53C6"/>
    <w:rsid w:val="000E3BE4"/>
    <w:rsid w:val="000E41CC"/>
    <w:rsid w:val="000E7AFE"/>
    <w:rsid w:val="000F09C1"/>
    <w:rsid w:val="000F3436"/>
    <w:rsid w:val="000F4826"/>
    <w:rsid w:val="000F57EC"/>
    <w:rsid w:val="00100A72"/>
    <w:rsid w:val="00102B40"/>
    <w:rsid w:val="00117186"/>
    <w:rsid w:val="0012136E"/>
    <w:rsid w:val="001259C4"/>
    <w:rsid w:val="00127A74"/>
    <w:rsid w:val="00131EF2"/>
    <w:rsid w:val="00132F86"/>
    <w:rsid w:val="00147A26"/>
    <w:rsid w:val="00161330"/>
    <w:rsid w:val="00161DB7"/>
    <w:rsid w:val="0016297D"/>
    <w:rsid w:val="001642AB"/>
    <w:rsid w:val="001679A1"/>
    <w:rsid w:val="001730F9"/>
    <w:rsid w:val="00183454"/>
    <w:rsid w:val="0019401B"/>
    <w:rsid w:val="001A0B0B"/>
    <w:rsid w:val="001B0B6C"/>
    <w:rsid w:val="001B1596"/>
    <w:rsid w:val="001B1B4B"/>
    <w:rsid w:val="001B3265"/>
    <w:rsid w:val="001B33CD"/>
    <w:rsid w:val="001D6000"/>
    <w:rsid w:val="001D7236"/>
    <w:rsid w:val="001D783B"/>
    <w:rsid w:val="001D7C94"/>
    <w:rsid w:val="001E2C05"/>
    <w:rsid w:val="001E5941"/>
    <w:rsid w:val="001E744E"/>
    <w:rsid w:val="001F07C9"/>
    <w:rsid w:val="001F46B5"/>
    <w:rsid w:val="001F5128"/>
    <w:rsid w:val="00204504"/>
    <w:rsid w:val="00205295"/>
    <w:rsid w:val="00205D92"/>
    <w:rsid w:val="00207889"/>
    <w:rsid w:val="00210FF9"/>
    <w:rsid w:val="002125B4"/>
    <w:rsid w:val="00212BA6"/>
    <w:rsid w:val="002132C7"/>
    <w:rsid w:val="00223FEF"/>
    <w:rsid w:val="00226D13"/>
    <w:rsid w:val="00227A25"/>
    <w:rsid w:val="00236CFD"/>
    <w:rsid w:val="002371BB"/>
    <w:rsid w:val="00237D0F"/>
    <w:rsid w:val="002435E0"/>
    <w:rsid w:val="002442D0"/>
    <w:rsid w:val="00244631"/>
    <w:rsid w:val="0025154F"/>
    <w:rsid w:val="002519EF"/>
    <w:rsid w:val="00252B17"/>
    <w:rsid w:val="00256411"/>
    <w:rsid w:val="002671C3"/>
    <w:rsid w:val="0026779E"/>
    <w:rsid w:val="00271D80"/>
    <w:rsid w:val="002737F7"/>
    <w:rsid w:val="002743A6"/>
    <w:rsid w:val="00274C6B"/>
    <w:rsid w:val="00275C63"/>
    <w:rsid w:val="002779EA"/>
    <w:rsid w:val="00280EC9"/>
    <w:rsid w:val="00283D1F"/>
    <w:rsid w:val="00284AE7"/>
    <w:rsid w:val="00286536"/>
    <w:rsid w:val="002871CA"/>
    <w:rsid w:val="00287D4E"/>
    <w:rsid w:val="00290877"/>
    <w:rsid w:val="00291EC9"/>
    <w:rsid w:val="002929CC"/>
    <w:rsid w:val="00295AE6"/>
    <w:rsid w:val="002A262E"/>
    <w:rsid w:val="002A3B90"/>
    <w:rsid w:val="002A4A0F"/>
    <w:rsid w:val="002B1B7B"/>
    <w:rsid w:val="002B29C3"/>
    <w:rsid w:val="002C48D2"/>
    <w:rsid w:val="002D0649"/>
    <w:rsid w:val="002D6E39"/>
    <w:rsid w:val="002D70D6"/>
    <w:rsid w:val="002E20E5"/>
    <w:rsid w:val="002E324F"/>
    <w:rsid w:val="002E5B72"/>
    <w:rsid w:val="002E5D25"/>
    <w:rsid w:val="002E632C"/>
    <w:rsid w:val="002E6828"/>
    <w:rsid w:val="002F0ADC"/>
    <w:rsid w:val="002F3706"/>
    <w:rsid w:val="002F7EE3"/>
    <w:rsid w:val="003005E9"/>
    <w:rsid w:val="003008D2"/>
    <w:rsid w:val="00305E84"/>
    <w:rsid w:val="003064DE"/>
    <w:rsid w:val="0030750C"/>
    <w:rsid w:val="00313A2B"/>
    <w:rsid w:val="00315CC5"/>
    <w:rsid w:val="00316E04"/>
    <w:rsid w:val="003172B0"/>
    <w:rsid w:val="003202A5"/>
    <w:rsid w:val="003215B7"/>
    <w:rsid w:val="00333DDF"/>
    <w:rsid w:val="003434A0"/>
    <w:rsid w:val="00344F43"/>
    <w:rsid w:val="00345950"/>
    <w:rsid w:val="00345BB3"/>
    <w:rsid w:val="00350FC1"/>
    <w:rsid w:val="003540CA"/>
    <w:rsid w:val="00354AB2"/>
    <w:rsid w:val="00356803"/>
    <w:rsid w:val="00363EF3"/>
    <w:rsid w:val="00364427"/>
    <w:rsid w:val="00370E47"/>
    <w:rsid w:val="003735A8"/>
    <w:rsid w:val="00377E46"/>
    <w:rsid w:val="00387386"/>
    <w:rsid w:val="00394F40"/>
    <w:rsid w:val="00396DE6"/>
    <w:rsid w:val="0039736B"/>
    <w:rsid w:val="003A03B0"/>
    <w:rsid w:val="003A38A8"/>
    <w:rsid w:val="003A6A76"/>
    <w:rsid w:val="003A765F"/>
    <w:rsid w:val="003B02B8"/>
    <w:rsid w:val="003B3D1E"/>
    <w:rsid w:val="003B6F10"/>
    <w:rsid w:val="003B7B41"/>
    <w:rsid w:val="003C0EA8"/>
    <w:rsid w:val="003D2F63"/>
    <w:rsid w:val="003E0A54"/>
    <w:rsid w:val="003E4234"/>
    <w:rsid w:val="003F25EE"/>
    <w:rsid w:val="003F443E"/>
    <w:rsid w:val="003F59A0"/>
    <w:rsid w:val="003F704A"/>
    <w:rsid w:val="00405B8C"/>
    <w:rsid w:val="0041138A"/>
    <w:rsid w:val="00411789"/>
    <w:rsid w:val="00411BDD"/>
    <w:rsid w:val="00415C11"/>
    <w:rsid w:val="00420B50"/>
    <w:rsid w:val="00422D19"/>
    <w:rsid w:val="0042466C"/>
    <w:rsid w:val="00425133"/>
    <w:rsid w:val="00426B77"/>
    <w:rsid w:val="00426F64"/>
    <w:rsid w:val="00432F15"/>
    <w:rsid w:val="00434260"/>
    <w:rsid w:val="004378C3"/>
    <w:rsid w:val="00437902"/>
    <w:rsid w:val="004458EA"/>
    <w:rsid w:val="004466C2"/>
    <w:rsid w:val="0045314D"/>
    <w:rsid w:val="004568B3"/>
    <w:rsid w:val="00462EA9"/>
    <w:rsid w:val="00463065"/>
    <w:rsid w:val="00467D38"/>
    <w:rsid w:val="00471102"/>
    <w:rsid w:val="00472F9C"/>
    <w:rsid w:val="00482EA6"/>
    <w:rsid w:val="00483975"/>
    <w:rsid w:val="00484AF3"/>
    <w:rsid w:val="0048760E"/>
    <w:rsid w:val="00491164"/>
    <w:rsid w:val="004914EC"/>
    <w:rsid w:val="004931D0"/>
    <w:rsid w:val="0049355F"/>
    <w:rsid w:val="00496756"/>
    <w:rsid w:val="004A07FF"/>
    <w:rsid w:val="004A1E96"/>
    <w:rsid w:val="004A21F4"/>
    <w:rsid w:val="004A4821"/>
    <w:rsid w:val="004A5664"/>
    <w:rsid w:val="004A6319"/>
    <w:rsid w:val="004B2B82"/>
    <w:rsid w:val="004B2C57"/>
    <w:rsid w:val="004B314C"/>
    <w:rsid w:val="004B31BF"/>
    <w:rsid w:val="004B7854"/>
    <w:rsid w:val="004C2BDE"/>
    <w:rsid w:val="004D2EAA"/>
    <w:rsid w:val="004D5B22"/>
    <w:rsid w:val="004E198B"/>
    <w:rsid w:val="004E2AA9"/>
    <w:rsid w:val="004E4A2E"/>
    <w:rsid w:val="00501F4A"/>
    <w:rsid w:val="00502139"/>
    <w:rsid w:val="0050462B"/>
    <w:rsid w:val="00504C18"/>
    <w:rsid w:val="005057B4"/>
    <w:rsid w:val="005067A1"/>
    <w:rsid w:val="00510EDC"/>
    <w:rsid w:val="00511EB3"/>
    <w:rsid w:val="0051216C"/>
    <w:rsid w:val="00512F04"/>
    <w:rsid w:val="005149A6"/>
    <w:rsid w:val="00514CD1"/>
    <w:rsid w:val="00516074"/>
    <w:rsid w:val="00517286"/>
    <w:rsid w:val="005223EC"/>
    <w:rsid w:val="00532670"/>
    <w:rsid w:val="00533C55"/>
    <w:rsid w:val="00537138"/>
    <w:rsid w:val="005401EA"/>
    <w:rsid w:val="00542BAB"/>
    <w:rsid w:val="005452A8"/>
    <w:rsid w:val="00551B2A"/>
    <w:rsid w:val="00554271"/>
    <w:rsid w:val="005651D7"/>
    <w:rsid w:val="005663AE"/>
    <w:rsid w:val="005707CC"/>
    <w:rsid w:val="0057346A"/>
    <w:rsid w:val="00574499"/>
    <w:rsid w:val="00574FC7"/>
    <w:rsid w:val="00591AE9"/>
    <w:rsid w:val="00594212"/>
    <w:rsid w:val="005A3A9E"/>
    <w:rsid w:val="005A70A0"/>
    <w:rsid w:val="005C094B"/>
    <w:rsid w:val="005C1F82"/>
    <w:rsid w:val="005C2A1D"/>
    <w:rsid w:val="005C3CAF"/>
    <w:rsid w:val="005C71D1"/>
    <w:rsid w:val="005C76DD"/>
    <w:rsid w:val="005D73B9"/>
    <w:rsid w:val="005E17FC"/>
    <w:rsid w:val="005E5C63"/>
    <w:rsid w:val="005F0CC2"/>
    <w:rsid w:val="005F1564"/>
    <w:rsid w:val="005F75AD"/>
    <w:rsid w:val="00603D3A"/>
    <w:rsid w:val="00606125"/>
    <w:rsid w:val="0060638E"/>
    <w:rsid w:val="006078C8"/>
    <w:rsid w:val="00607930"/>
    <w:rsid w:val="00607FDC"/>
    <w:rsid w:val="0062037B"/>
    <w:rsid w:val="00620542"/>
    <w:rsid w:val="00620567"/>
    <w:rsid w:val="00630F01"/>
    <w:rsid w:val="006329F0"/>
    <w:rsid w:val="0063346A"/>
    <w:rsid w:val="0064253C"/>
    <w:rsid w:val="00643538"/>
    <w:rsid w:val="00644BCE"/>
    <w:rsid w:val="006479E5"/>
    <w:rsid w:val="00647B3D"/>
    <w:rsid w:val="00651CC6"/>
    <w:rsid w:val="006531E2"/>
    <w:rsid w:val="00654018"/>
    <w:rsid w:val="0066163A"/>
    <w:rsid w:val="006735C1"/>
    <w:rsid w:val="00674675"/>
    <w:rsid w:val="00674EED"/>
    <w:rsid w:val="0067511F"/>
    <w:rsid w:val="006751D5"/>
    <w:rsid w:val="006756A8"/>
    <w:rsid w:val="00682DD4"/>
    <w:rsid w:val="00683315"/>
    <w:rsid w:val="006844FB"/>
    <w:rsid w:val="00687654"/>
    <w:rsid w:val="0069392A"/>
    <w:rsid w:val="00693F02"/>
    <w:rsid w:val="006957E2"/>
    <w:rsid w:val="00695914"/>
    <w:rsid w:val="006A0EEE"/>
    <w:rsid w:val="006A2274"/>
    <w:rsid w:val="006A2A31"/>
    <w:rsid w:val="006A7C6C"/>
    <w:rsid w:val="006B1AA6"/>
    <w:rsid w:val="006B33B3"/>
    <w:rsid w:val="006C2B9C"/>
    <w:rsid w:val="006C4211"/>
    <w:rsid w:val="006C563D"/>
    <w:rsid w:val="006D022D"/>
    <w:rsid w:val="006D54C3"/>
    <w:rsid w:val="006D58F1"/>
    <w:rsid w:val="006E3BF7"/>
    <w:rsid w:val="006E6EC3"/>
    <w:rsid w:val="006F28FC"/>
    <w:rsid w:val="006F6175"/>
    <w:rsid w:val="00701ABA"/>
    <w:rsid w:val="00701C32"/>
    <w:rsid w:val="00702987"/>
    <w:rsid w:val="0070501E"/>
    <w:rsid w:val="00715978"/>
    <w:rsid w:val="0071737F"/>
    <w:rsid w:val="0072123A"/>
    <w:rsid w:val="00724669"/>
    <w:rsid w:val="00732634"/>
    <w:rsid w:val="00734AE0"/>
    <w:rsid w:val="00736951"/>
    <w:rsid w:val="00736E79"/>
    <w:rsid w:val="00736F81"/>
    <w:rsid w:val="00740509"/>
    <w:rsid w:val="007474C6"/>
    <w:rsid w:val="00752F2A"/>
    <w:rsid w:val="00761226"/>
    <w:rsid w:val="0076579C"/>
    <w:rsid w:val="0076621A"/>
    <w:rsid w:val="00767194"/>
    <w:rsid w:val="00775ADD"/>
    <w:rsid w:val="00775F73"/>
    <w:rsid w:val="0077675C"/>
    <w:rsid w:val="00777B7E"/>
    <w:rsid w:val="00781D14"/>
    <w:rsid w:val="007826CC"/>
    <w:rsid w:val="00787BD1"/>
    <w:rsid w:val="00791465"/>
    <w:rsid w:val="00793036"/>
    <w:rsid w:val="007A602C"/>
    <w:rsid w:val="007A7469"/>
    <w:rsid w:val="007B254D"/>
    <w:rsid w:val="007B2969"/>
    <w:rsid w:val="007B3630"/>
    <w:rsid w:val="007C07E7"/>
    <w:rsid w:val="007C1AD5"/>
    <w:rsid w:val="007C2223"/>
    <w:rsid w:val="007D1095"/>
    <w:rsid w:val="007E125A"/>
    <w:rsid w:val="007E41C2"/>
    <w:rsid w:val="007E4942"/>
    <w:rsid w:val="007F422E"/>
    <w:rsid w:val="007F5A6D"/>
    <w:rsid w:val="007F74AD"/>
    <w:rsid w:val="0080310A"/>
    <w:rsid w:val="00804C7B"/>
    <w:rsid w:val="00812019"/>
    <w:rsid w:val="00813079"/>
    <w:rsid w:val="008142BE"/>
    <w:rsid w:val="00822694"/>
    <w:rsid w:val="00822B06"/>
    <w:rsid w:val="00822F4D"/>
    <w:rsid w:val="00827249"/>
    <w:rsid w:val="00830A61"/>
    <w:rsid w:val="0083209C"/>
    <w:rsid w:val="00832910"/>
    <w:rsid w:val="00832B76"/>
    <w:rsid w:val="00834F0E"/>
    <w:rsid w:val="00842793"/>
    <w:rsid w:val="00843F87"/>
    <w:rsid w:val="00846C08"/>
    <w:rsid w:val="00850DF6"/>
    <w:rsid w:val="00850E41"/>
    <w:rsid w:val="008530D8"/>
    <w:rsid w:val="0085718D"/>
    <w:rsid w:val="00860955"/>
    <w:rsid w:val="00871E40"/>
    <w:rsid w:val="00874782"/>
    <w:rsid w:val="00876251"/>
    <w:rsid w:val="0087784B"/>
    <w:rsid w:val="0088145A"/>
    <w:rsid w:val="00881BEF"/>
    <w:rsid w:val="008850EC"/>
    <w:rsid w:val="008904EA"/>
    <w:rsid w:val="00892F2C"/>
    <w:rsid w:val="0089347D"/>
    <w:rsid w:val="00897354"/>
    <w:rsid w:val="008A1561"/>
    <w:rsid w:val="008A435D"/>
    <w:rsid w:val="008A539A"/>
    <w:rsid w:val="008A6905"/>
    <w:rsid w:val="008B1B25"/>
    <w:rsid w:val="008B6695"/>
    <w:rsid w:val="008B74D2"/>
    <w:rsid w:val="008D1F66"/>
    <w:rsid w:val="008D791F"/>
    <w:rsid w:val="008F004E"/>
    <w:rsid w:val="008F17C1"/>
    <w:rsid w:val="008F23D4"/>
    <w:rsid w:val="008F2D22"/>
    <w:rsid w:val="008F3A2B"/>
    <w:rsid w:val="008F3C26"/>
    <w:rsid w:val="008F5F79"/>
    <w:rsid w:val="008F62FF"/>
    <w:rsid w:val="008F67B5"/>
    <w:rsid w:val="009000B6"/>
    <w:rsid w:val="0090388E"/>
    <w:rsid w:val="00903C30"/>
    <w:rsid w:val="009140BC"/>
    <w:rsid w:val="00916165"/>
    <w:rsid w:val="0091624B"/>
    <w:rsid w:val="00921D52"/>
    <w:rsid w:val="00922757"/>
    <w:rsid w:val="00931BBB"/>
    <w:rsid w:val="0093428E"/>
    <w:rsid w:val="00935D02"/>
    <w:rsid w:val="00937F2E"/>
    <w:rsid w:val="00943545"/>
    <w:rsid w:val="00943E26"/>
    <w:rsid w:val="00950101"/>
    <w:rsid w:val="009509E2"/>
    <w:rsid w:val="00954F91"/>
    <w:rsid w:val="00956236"/>
    <w:rsid w:val="0096161B"/>
    <w:rsid w:val="00967344"/>
    <w:rsid w:val="0096771D"/>
    <w:rsid w:val="009706DE"/>
    <w:rsid w:val="00973300"/>
    <w:rsid w:val="0097389C"/>
    <w:rsid w:val="00977838"/>
    <w:rsid w:val="00977DBC"/>
    <w:rsid w:val="00982675"/>
    <w:rsid w:val="00982851"/>
    <w:rsid w:val="00982980"/>
    <w:rsid w:val="00982BA6"/>
    <w:rsid w:val="009831F6"/>
    <w:rsid w:val="00983495"/>
    <w:rsid w:val="00985430"/>
    <w:rsid w:val="00990A22"/>
    <w:rsid w:val="0099363E"/>
    <w:rsid w:val="00996248"/>
    <w:rsid w:val="009A40ED"/>
    <w:rsid w:val="009A65D2"/>
    <w:rsid w:val="009A6E6B"/>
    <w:rsid w:val="009B0354"/>
    <w:rsid w:val="009B2218"/>
    <w:rsid w:val="009B227F"/>
    <w:rsid w:val="009B2422"/>
    <w:rsid w:val="009B4BD9"/>
    <w:rsid w:val="009C762A"/>
    <w:rsid w:val="009D0A3C"/>
    <w:rsid w:val="009D283F"/>
    <w:rsid w:val="009E526E"/>
    <w:rsid w:val="009E7951"/>
    <w:rsid w:val="009F2706"/>
    <w:rsid w:val="009F5705"/>
    <w:rsid w:val="00A017BB"/>
    <w:rsid w:val="00A017D2"/>
    <w:rsid w:val="00A0431C"/>
    <w:rsid w:val="00A13F02"/>
    <w:rsid w:val="00A208AE"/>
    <w:rsid w:val="00A22B6B"/>
    <w:rsid w:val="00A23EC3"/>
    <w:rsid w:val="00A25E54"/>
    <w:rsid w:val="00A26B6C"/>
    <w:rsid w:val="00A326FB"/>
    <w:rsid w:val="00A374AF"/>
    <w:rsid w:val="00A37D53"/>
    <w:rsid w:val="00A45B85"/>
    <w:rsid w:val="00A46C93"/>
    <w:rsid w:val="00A50FE5"/>
    <w:rsid w:val="00A52447"/>
    <w:rsid w:val="00A54A14"/>
    <w:rsid w:val="00A56F1B"/>
    <w:rsid w:val="00A62ADA"/>
    <w:rsid w:val="00A665EE"/>
    <w:rsid w:val="00A709B7"/>
    <w:rsid w:val="00A7145D"/>
    <w:rsid w:val="00A75399"/>
    <w:rsid w:val="00A75CB8"/>
    <w:rsid w:val="00A808E6"/>
    <w:rsid w:val="00A80DCD"/>
    <w:rsid w:val="00A83F6D"/>
    <w:rsid w:val="00A906A4"/>
    <w:rsid w:val="00A93091"/>
    <w:rsid w:val="00A95C18"/>
    <w:rsid w:val="00AA2099"/>
    <w:rsid w:val="00AA2188"/>
    <w:rsid w:val="00AA4152"/>
    <w:rsid w:val="00AB2070"/>
    <w:rsid w:val="00AB2236"/>
    <w:rsid w:val="00AC0E8F"/>
    <w:rsid w:val="00AC2C2F"/>
    <w:rsid w:val="00AC33D4"/>
    <w:rsid w:val="00AC4BBE"/>
    <w:rsid w:val="00AC7E05"/>
    <w:rsid w:val="00AD0E0A"/>
    <w:rsid w:val="00AD1653"/>
    <w:rsid w:val="00AD4D15"/>
    <w:rsid w:val="00AD5627"/>
    <w:rsid w:val="00AD6C1D"/>
    <w:rsid w:val="00AD7765"/>
    <w:rsid w:val="00AE1664"/>
    <w:rsid w:val="00AE1679"/>
    <w:rsid w:val="00AF2B0A"/>
    <w:rsid w:val="00AF6182"/>
    <w:rsid w:val="00AF65A1"/>
    <w:rsid w:val="00B0198C"/>
    <w:rsid w:val="00B102A6"/>
    <w:rsid w:val="00B11FAE"/>
    <w:rsid w:val="00B1563F"/>
    <w:rsid w:val="00B21E14"/>
    <w:rsid w:val="00B24D33"/>
    <w:rsid w:val="00B261DC"/>
    <w:rsid w:val="00B27B53"/>
    <w:rsid w:val="00B27CA7"/>
    <w:rsid w:val="00B3764F"/>
    <w:rsid w:val="00B42A88"/>
    <w:rsid w:val="00B47747"/>
    <w:rsid w:val="00B512F3"/>
    <w:rsid w:val="00B5182E"/>
    <w:rsid w:val="00B52847"/>
    <w:rsid w:val="00B557F0"/>
    <w:rsid w:val="00B562E8"/>
    <w:rsid w:val="00B569A0"/>
    <w:rsid w:val="00B62146"/>
    <w:rsid w:val="00B650C4"/>
    <w:rsid w:val="00B65BA1"/>
    <w:rsid w:val="00B70562"/>
    <w:rsid w:val="00B70A84"/>
    <w:rsid w:val="00B75742"/>
    <w:rsid w:val="00B80016"/>
    <w:rsid w:val="00B801D7"/>
    <w:rsid w:val="00B81B78"/>
    <w:rsid w:val="00B8427E"/>
    <w:rsid w:val="00B864C0"/>
    <w:rsid w:val="00B875EC"/>
    <w:rsid w:val="00B93FE3"/>
    <w:rsid w:val="00B949AC"/>
    <w:rsid w:val="00B94ABC"/>
    <w:rsid w:val="00BA0BAC"/>
    <w:rsid w:val="00BA280E"/>
    <w:rsid w:val="00BA35CF"/>
    <w:rsid w:val="00BA70C3"/>
    <w:rsid w:val="00BB0728"/>
    <w:rsid w:val="00BB653D"/>
    <w:rsid w:val="00BB6D99"/>
    <w:rsid w:val="00BC0144"/>
    <w:rsid w:val="00BC0651"/>
    <w:rsid w:val="00BC1945"/>
    <w:rsid w:val="00BD2938"/>
    <w:rsid w:val="00BD677F"/>
    <w:rsid w:val="00BD79A2"/>
    <w:rsid w:val="00BF4C0F"/>
    <w:rsid w:val="00BF5A37"/>
    <w:rsid w:val="00BF753B"/>
    <w:rsid w:val="00C0218C"/>
    <w:rsid w:val="00C0430B"/>
    <w:rsid w:val="00C0456D"/>
    <w:rsid w:val="00C073CF"/>
    <w:rsid w:val="00C25C5F"/>
    <w:rsid w:val="00C34A14"/>
    <w:rsid w:val="00C46C6F"/>
    <w:rsid w:val="00C46C7F"/>
    <w:rsid w:val="00C5177A"/>
    <w:rsid w:val="00C52866"/>
    <w:rsid w:val="00C571A4"/>
    <w:rsid w:val="00C644B3"/>
    <w:rsid w:val="00C67842"/>
    <w:rsid w:val="00C67BA2"/>
    <w:rsid w:val="00C67F83"/>
    <w:rsid w:val="00C74BF2"/>
    <w:rsid w:val="00C77277"/>
    <w:rsid w:val="00C82F75"/>
    <w:rsid w:val="00C84538"/>
    <w:rsid w:val="00C865F3"/>
    <w:rsid w:val="00C8727B"/>
    <w:rsid w:val="00C907F0"/>
    <w:rsid w:val="00C93297"/>
    <w:rsid w:val="00CA1C1E"/>
    <w:rsid w:val="00CA1E04"/>
    <w:rsid w:val="00CA474B"/>
    <w:rsid w:val="00CA5B86"/>
    <w:rsid w:val="00CB2A4B"/>
    <w:rsid w:val="00CB3B77"/>
    <w:rsid w:val="00CB42E0"/>
    <w:rsid w:val="00CC6739"/>
    <w:rsid w:val="00CC75A5"/>
    <w:rsid w:val="00CD22B3"/>
    <w:rsid w:val="00CD533B"/>
    <w:rsid w:val="00CD6D68"/>
    <w:rsid w:val="00CD7EBC"/>
    <w:rsid w:val="00CE51B6"/>
    <w:rsid w:val="00CF1313"/>
    <w:rsid w:val="00CF1DC0"/>
    <w:rsid w:val="00CF2355"/>
    <w:rsid w:val="00CF2F48"/>
    <w:rsid w:val="00CF3EA8"/>
    <w:rsid w:val="00CF72FD"/>
    <w:rsid w:val="00D01D48"/>
    <w:rsid w:val="00D0738A"/>
    <w:rsid w:val="00D140E4"/>
    <w:rsid w:val="00D140FF"/>
    <w:rsid w:val="00D211A6"/>
    <w:rsid w:val="00D268F4"/>
    <w:rsid w:val="00D27121"/>
    <w:rsid w:val="00D35796"/>
    <w:rsid w:val="00D37F92"/>
    <w:rsid w:val="00D434E5"/>
    <w:rsid w:val="00D47F92"/>
    <w:rsid w:val="00D52D8D"/>
    <w:rsid w:val="00D563A3"/>
    <w:rsid w:val="00D5683D"/>
    <w:rsid w:val="00D60F5F"/>
    <w:rsid w:val="00D636D3"/>
    <w:rsid w:val="00D66958"/>
    <w:rsid w:val="00D7254C"/>
    <w:rsid w:val="00D73675"/>
    <w:rsid w:val="00D8242E"/>
    <w:rsid w:val="00D82783"/>
    <w:rsid w:val="00D83956"/>
    <w:rsid w:val="00D86CDB"/>
    <w:rsid w:val="00D87A19"/>
    <w:rsid w:val="00D90A7D"/>
    <w:rsid w:val="00D92DB2"/>
    <w:rsid w:val="00D94727"/>
    <w:rsid w:val="00D977BD"/>
    <w:rsid w:val="00DA0052"/>
    <w:rsid w:val="00DA5FE9"/>
    <w:rsid w:val="00DB2422"/>
    <w:rsid w:val="00DB78B2"/>
    <w:rsid w:val="00DC44DA"/>
    <w:rsid w:val="00DD5524"/>
    <w:rsid w:val="00DD59C3"/>
    <w:rsid w:val="00DE3126"/>
    <w:rsid w:val="00DF79DF"/>
    <w:rsid w:val="00E04E41"/>
    <w:rsid w:val="00E055A5"/>
    <w:rsid w:val="00E06B24"/>
    <w:rsid w:val="00E1158D"/>
    <w:rsid w:val="00E31B55"/>
    <w:rsid w:val="00E3221D"/>
    <w:rsid w:val="00E32EFC"/>
    <w:rsid w:val="00E44A17"/>
    <w:rsid w:val="00E4529C"/>
    <w:rsid w:val="00E504A9"/>
    <w:rsid w:val="00E626F7"/>
    <w:rsid w:val="00E642B6"/>
    <w:rsid w:val="00E71271"/>
    <w:rsid w:val="00E75156"/>
    <w:rsid w:val="00E7684C"/>
    <w:rsid w:val="00E77F7A"/>
    <w:rsid w:val="00E82758"/>
    <w:rsid w:val="00E83E50"/>
    <w:rsid w:val="00E862FF"/>
    <w:rsid w:val="00E871BC"/>
    <w:rsid w:val="00E9310C"/>
    <w:rsid w:val="00E937AF"/>
    <w:rsid w:val="00E97CF1"/>
    <w:rsid w:val="00EA3526"/>
    <w:rsid w:val="00EA7213"/>
    <w:rsid w:val="00EB53BA"/>
    <w:rsid w:val="00EB6CA9"/>
    <w:rsid w:val="00EC0289"/>
    <w:rsid w:val="00EC6660"/>
    <w:rsid w:val="00ED1B60"/>
    <w:rsid w:val="00ED2935"/>
    <w:rsid w:val="00EE02F4"/>
    <w:rsid w:val="00EE18B2"/>
    <w:rsid w:val="00EE23C3"/>
    <w:rsid w:val="00EE62BF"/>
    <w:rsid w:val="00EF0C4D"/>
    <w:rsid w:val="00EF182A"/>
    <w:rsid w:val="00EF1B3A"/>
    <w:rsid w:val="00EF3915"/>
    <w:rsid w:val="00F044F8"/>
    <w:rsid w:val="00F06782"/>
    <w:rsid w:val="00F0736C"/>
    <w:rsid w:val="00F07929"/>
    <w:rsid w:val="00F123C5"/>
    <w:rsid w:val="00F1464B"/>
    <w:rsid w:val="00F226CA"/>
    <w:rsid w:val="00F27A88"/>
    <w:rsid w:val="00F27E81"/>
    <w:rsid w:val="00F30175"/>
    <w:rsid w:val="00F33B82"/>
    <w:rsid w:val="00F34B05"/>
    <w:rsid w:val="00F36DB3"/>
    <w:rsid w:val="00F37A17"/>
    <w:rsid w:val="00F44D48"/>
    <w:rsid w:val="00F529C0"/>
    <w:rsid w:val="00F546CC"/>
    <w:rsid w:val="00F564E5"/>
    <w:rsid w:val="00F609E1"/>
    <w:rsid w:val="00F6115D"/>
    <w:rsid w:val="00F6156C"/>
    <w:rsid w:val="00F63EB0"/>
    <w:rsid w:val="00F65410"/>
    <w:rsid w:val="00F73427"/>
    <w:rsid w:val="00F75DC4"/>
    <w:rsid w:val="00F7655D"/>
    <w:rsid w:val="00F82981"/>
    <w:rsid w:val="00F9083E"/>
    <w:rsid w:val="00F927B3"/>
    <w:rsid w:val="00F9621A"/>
    <w:rsid w:val="00FA588B"/>
    <w:rsid w:val="00FA636F"/>
    <w:rsid w:val="00FA7A35"/>
    <w:rsid w:val="00FB3693"/>
    <w:rsid w:val="00FC02D3"/>
    <w:rsid w:val="00FC117E"/>
    <w:rsid w:val="00FC1553"/>
    <w:rsid w:val="00FC2E44"/>
    <w:rsid w:val="00FC7D71"/>
    <w:rsid w:val="00FD4C9B"/>
    <w:rsid w:val="00FE05AB"/>
    <w:rsid w:val="00FE0609"/>
    <w:rsid w:val="00FE253E"/>
    <w:rsid w:val="00FE594D"/>
    <w:rsid w:val="00FF157A"/>
    <w:rsid w:val="00FF1CB5"/>
    <w:rsid w:val="00FF463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2D8BE"/>
  <w15:docId w15:val="{D2B7FF16-9DFE-4FEA-8962-69956A28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679"/>
    <w:rPr>
      <w:lang w:val="es-ES_tradnl"/>
    </w:rPr>
  </w:style>
  <w:style w:type="paragraph" w:styleId="Ttulo1">
    <w:name w:val="heading 1"/>
    <w:basedOn w:val="Normal"/>
    <w:link w:val="Ttulo1Car"/>
    <w:uiPriority w:val="9"/>
    <w:qFormat/>
    <w:rsid w:val="0062054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paragraph" w:styleId="Ttulo2">
    <w:name w:val="heading 2"/>
    <w:basedOn w:val="Normal"/>
    <w:next w:val="Normal"/>
    <w:link w:val="Ttulo2Car"/>
    <w:uiPriority w:val="9"/>
    <w:semiHidden/>
    <w:unhideWhenUsed/>
    <w:qFormat/>
    <w:rsid w:val="005F15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6D02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0542"/>
    <w:rPr>
      <w:rFonts w:ascii="Times New Roman" w:eastAsia="Times New Roman" w:hAnsi="Times New Roman" w:cs="Times New Roman"/>
      <w:b/>
      <w:bCs/>
      <w:kern w:val="36"/>
      <w:sz w:val="48"/>
      <w:szCs w:val="48"/>
      <w:lang w:eastAsia="es-ES"/>
    </w:rPr>
  </w:style>
  <w:style w:type="paragraph" w:customStyle="1" w:styleId="first-child">
    <w:name w:val="fir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Fuerte">
    <w:name w:val="Strong"/>
    <w:basedOn w:val="Fuentedeprrafopredeter"/>
    <w:uiPriority w:val="22"/>
    <w:qFormat/>
    <w:rsid w:val="00620542"/>
    <w:rPr>
      <w:b/>
      <w:bCs/>
    </w:rPr>
  </w:style>
  <w:style w:type="paragraph" w:customStyle="1" w:styleId="last-child">
    <w:name w:val="last-child"/>
    <w:basedOn w:val="Normal"/>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20542"/>
    <w:rPr>
      <w:color w:val="0000FF"/>
      <w:u w:val="single"/>
    </w:rPr>
  </w:style>
  <w:style w:type="paragraph" w:styleId="NormalWeb">
    <w:name w:val="Normal (Web)"/>
    <w:basedOn w:val="Normal"/>
    <w:uiPriority w:val="99"/>
    <w:unhideWhenUsed/>
    <w:rsid w:val="0062054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E83E50"/>
    <w:rPr>
      <w:color w:val="605E5C"/>
      <w:shd w:val="clear" w:color="auto" w:fill="E1DFDD"/>
    </w:rPr>
  </w:style>
  <w:style w:type="paragraph" w:styleId="Encabezado">
    <w:name w:val="header"/>
    <w:basedOn w:val="Normal"/>
    <w:link w:val="EncabezadoCar"/>
    <w:uiPriority w:val="99"/>
    <w:unhideWhenUsed/>
    <w:rsid w:val="00E83E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3E50"/>
    <w:rPr>
      <w:lang w:val="es-ES_tradnl"/>
    </w:rPr>
  </w:style>
  <w:style w:type="paragraph" w:styleId="Piedepgina">
    <w:name w:val="footer"/>
    <w:basedOn w:val="Normal"/>
    <w:link w:val="PiedepginaCar"/>
    <w:uiPriority w:val="99"/>
    <w:unhideWhenUsed/>
    <w:rsid w:val="00E83E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3E50"/>
    <w:rPr>
      <w:lang w:val="es-ES_tradnl"/>
    </w:rPr>
  </w:style>
  <w:style w:type="character" w:styleId="Hipervnculovisitado">
    <w:name w:val="FollowedHyperlink"/>
    <w:basedOn w:val="Fuentedeprrafopredeter"/>
    <w:uiPriority w:val="99"/>
    <w:semiHidden/>
    <w:unhideWhenUsed/>
    <w:rsid w:val="00E83E50"/>
    <w:rPr>
      <w:color w:val="954F72" w:themeColor="followedHyperlink"/>
      <w:u w:val="single"/>
    </w:rPr>
  </w:style>
  <w:style w:type="paragraph" w:customStyle="1" w:styleId="m1909010295309559315msolistparagraph">
    <w:name w:val="m_1909010295309559315msolistparagraph"/>
    <w:basedOn w:val="Normal"/>
    <w:rsid w:val="00812019"/>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Prrafodelista">
    <w:name w:val="List Paragraph"/>
    <w:basedOn w:val="Normal"/>
    <w:qFormat/>
    <w:rsid w:val="00752F2A"/>
    <w:pPr>
      <w:ind w:left="720"/>
      <w:contextualSpacing/>
    </w:pPr>
  </w:style>
  <w:style w:type="paragraph" w:styleId="Revisin">
    <w:name w:val="Revision"/>
    <w:hidden/>
    <w:uiPriority w:val="99"/>
    <w:semiHidden/>
    <w:rsid w:val="000132DE"/>
    <w:pPr>
      <w:spacing w:after="0" w:line="240" w:lineRule="auto"/>
    </w:pPr>
    <w:rPr>
      <w:lang w:val="es-ES_tradnl"/>
    </w:rPr>
  </w:style>
  <w:style w:type="character" w:styleId="Refdecomentario">
    <w:name w:val="annotation reference"/>
    <w:basedOn w:val="Fuentedeprrafopredeter"/>
    <w:uiPriority w:val="99"/>
    <w:semiHidden/>
    <w:unhideWhenUsed/>
    <w:rsid w:val="000132DE"/>
    <w:rPr>
      <w:sz w:val="16"/>
      <w:szCs w:val="16"/>
    </w:rPr>
  </w:style>
  <w:style w:type="paragraph" w:styleId="Textocomentario">
    <w:name w:val="annotation text"/>
    <w:basedOn w:val="Normal"/>
    <w:link w:val="TextocomentarioCar"/>
    <w:uiPriority w:val="99"/>
    <w:unhideWhenUsed/>
    <w:rsid w:val="000132DE"/>
    <w:pPr>
      <w:spacing w:line="240" w:lineRule="auto"/>
    </w:pPr>
    <w:rPr>
      <w:sz w:val="20"/>
      <w:szCs w:val="20"/>
    </w:rPr>
  </w:style>
  <w:style w:type="character" w:customStyle="1" w:styleId="TextocomentarioCar">
    <w:name w:val="Texto comentario Car"/>
    <w:basedOn w:val="Fuentedeprrafopredeter"/>
    <w:link w:val="Textocomentario"/>
    <w:uiPriority w:val="99"/>
    <w:rsid w:val="000132DE"/>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132DE"/>
    <w:rPr>
      <w:b/>
      <w:bCs/>
    </w:rPr>
  </w:style>
  <w:style w:type="character" w:customStyle="1" w:styleId="AsuntodelcomentarioCar">
    <w:name w:val="Asunto del comentario Car"/>
    <w:basedOn w:val="TextocomentarioCar"/>
    <w:link w:val="Asuntodelcomentario"/>
    <w:uiPriority w:val="99"/>
    <w:semiHidden/>
    <w:rsid w:val="000132DE"/>
    <w:rPr>
      <w:b/>
      <w:bCs/>
      <w:sz w:val="20"/>
      <w:szCs w:val="20"/>
      <w:lang w:val="es-ES_tradnl"/>
    </w:rPr>
  </w:style>
  <w:style w:type="paragraph" w:styleId="Textodeglobo">
    <w:name w:val="Balloon Text"/>
    <w:basedOn w:val="Normal"/>
    <w:link w:val="TextodegloboCar"/>
    <w:uiPriority w:val="99"/>
    <w:semiHidden/>
    <w:unhideWhenUsed/>
    <w:rsid w:val="00F63E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3EB0"/>
    <w:rPr>
      <w:rFonts w:ascii="Tahoma" w:hAnsi="Tahoma" w:cs="Tahoma"/>
      <w:sz w:val="16"/>
      <w:szCs w:val="16"/>
      <w:lang w:val="es-ES_tradnl"/>
    </w:rPr>
  </w:style>
  <w:style w:type="character" w:customStyle="1" w:styleId="Mencinsinresolver2">
    <w:name w:val="Mención sin resolver2"/>
    <w:basedOn w:val="Fuentedeprrafopredeter"/>
    <w:uiPriority w:val="99"/>
    <w:semiHidden/>
    <w:unhideWhenUsed/>
    <w:rsid w:val="00781D14"/>
    <w:rPr>
      <w:color w:val="605E5C"/>
      <w:shd w:val="clear" w:color="auto" w:fill="E1DFDD"/>
    </w:rPr>
  </w:style>
  <w:style w:type="character" w:styleId="Mencinsinresolver">
    <w:name w:val="Unresolved Mention"/>
    <w:basedOn w:val="Fuentedeprrafopredeter"/>
    <w:uiPriority w:val="99"/>
    <w:semiHidden/>
    <w:unhideWhenUsed/>
    <w:rsid w:val="00A017BB"/>
    <w:rPr>
      <w:color w:val="605E5C"/>
      <w:shd w:val="clear" w:color="auto" w:fill="E1DFDD"/>
    </w:rPr>
  </w:style>
  <w:style w:type="character" w:customStyle="1" w:styleId="Ttulo3Car">
    <w:name w:val="Título 3 Car"/>
    <w:basedOn w:val="Fuentedeprrafopredeter"/>
    <w:link w:val="Ttulo3"/>
    <w:uiPriority w:val="9"/>
    <w:semiHidden/>
    <w:rsid w:val="006D022D"/>
    <w:rPr>
      <w:rFonts w:asciiTheme="majorHAnsi" w:eastAsiaTheme="majorEastAsia" w:hAnsiTheme="majorHAnsi" w:cstheme="majorBidi"/>
      <w:color w:val="1F3763" w:themeColor="accent1" w:themeShade="7F"/>
      <w:sz w:val="24"/>
      <w:szCs w:val="24"/>
      <w:lang w:val="es-ES_tradnl"/>
    </w:rPr>
  </w:style>
  <w:style w:type="character" w:customStyle="1" w:styleId="Ttulo2Car">
    <w:name w:val="Título 2 Car"/>
    <w:basedOn w:val="Fuentedeprrafopredeter"/>
    <w:link w:val="Ttulo2"/>
    <w:uiPriority w:val="9"/>
    <w:semiHidden/>
    <w:rsid w:val="005F1564"/>
    <w:rPr>
      <w:rFonts w:asciiTheme="majorHAnsi" w:eastAsiaTheme="majorEastAsia" w:hAnsiTheme="majorHAnsi" w:cstheme="majorBidi"/>
      <w:color w:val="2F5496" w:themeColor="accent1" w:themeShade="BF"/>
      <w:sz w:val="26"/>
      <w:szCs w:val="26"/>
      <w:lang w:val="es-ES_tradnl"/>
    </w:rPr>
  </w:style>
  <w:style w:type="character" w:customStyle="1" w:styleId="relative">
    <w:name w:val="relative"/>
    <w:basedOn w:val="Fuentedeprrafopredeter"/>
    <w:rsid w:val="00767194"/>
  </w:style>
  <w:style w:type="paragraph" w:customStyle="1" w:styleId="not-prose">
    <w:name w:val="not-prose"/>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Principiodelformulario">
    <w:name w:val="HTML Top of Form"/>
    <w:basedOn w:val="Normal"/>
    <w:next w:val="Normal"/>
    <w:link w:val="z-PrincipiodelformularioCar"/>
    <w:hidden/>
    <w:uiPriority w:val="99"/>
    <w:semiHidden/>
    <w:unhideWhenUsed/>
    <w:rsid w:val="00767194"/>
    <w:pPr>
      <w:pBdr>
        <w:bottom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PrincipiodelformularioCar">
    <w:name w:val="z-Principio del formulario Car"/>
    <w:basedOn w:val="Fuentedeprrafopredeter"/>
    <w:link w:val="z-Principiodelformulario"/>
    <w:uiPriority w:val="99"/>
    <w:semiHidden/>
    <w:rsid w:val="00767194"/>
    <w:rPr>
      <w:rFonts w:ascii="Arial" w:eastAsia="Times New Roman" w:hAnsi="Arial" w:cs="Arial"/>
      <w:vanish/>
      <w:sz w:val="16"/>
      <w:szCs w:val="16"/>
      <w:lang w:eastAsia="es-ES_tradnl"/>
    </w:rPr>
  </w:style>
  <w:style w:type="paragraph" w:customStyle="1" w:styleId="placeholder">
    <w:name w:val="placeholder"/>
    <w:basedOn w:val="Normal"/>
    <w:rsid w:val="00767194"/>
    <w:pPr>
      <w:spacing w:before="100" w:beforeAutospacing="1" w:after="100" w:afterAutospacing="1" w:line="240" w:lineRule="auto"/>
    </w:pPr>
    <w:rPr>
      <w:rFonts w:ascii="Times New Roman" w:eastAsia="Times New Roman" w:hAnsi="Times New Roman" w:cs="Times New Roman"/>
      <w:sz w:val="24"/>
      <w:szCs w:val="24"/>
      <w:lang w:val="es-ES" w:eastAsia="es-ES_tradnl"/>
    </w:rPr>
  </w:style>
  <w:style w:type="paragraph" w:styleId="z-Finaldelformulario">
    <w:name w:val="HTML Bottom of Form"/>
    <w:basedOn w:val="Normal"/>
    <w:next w:val="Normal"/>
    <w:link w:val="z-FinaldelformularioCar"/>
    <w:hidden/>
    <w:uiPriority w:val="99"/>
    <w:semiHidden/>
    <w:unhideWhenUsed/>
    <w:rsid w:val="00767194"/>
    <w:pPr>
      <w:pBdr>
        <w:top w:val="single" w:sz="6" w:space="1" w:color="auto"/>
      </w:pBdr>
      <w:spacing w:after="0" w:line="240" w:lineRule="auto"/>
      <w:jc w:val="center"/>
    </w:pPr>
    <w:rPr>
      <w:rFonts w:ascii="Arial" w:eastAsia="Times New Roman" w:hAnsi="Arial" w:cs="Arial"/>
      <w:vanish/>
      <w:sz w:val="16"/>
      <w:szCs w:val="16"/>
      <w:lang w:val="es-ES" w:eastAsia="es-ES_tradnl"/>
    </w:rPr>
  </w:style>
  <w:style w:type="character" w:customStyle="1" w:styleId="z-FinaldelformularioCar">
    <w:name w:val="z-Final del formulario Car"/>
    <w:basedOn w:val="Fuentedeprrafopredeter"/>
    <w:link w:val="z-Finaldelformulario"/>
    <w:uiPriority w:val="99"/>
    <w:semiHidden/>
    <w:rsid w:val="00767194"/>
    <w:rPr>
      <w:rFonts w:ascii="Arial" w:eastAsia="Times New Roman" w:hAnsi="Arial" w:cs="Arial"/>
      <w:vanish/>
      <w:sz w:val="16"/>
      <w:szCs w:val="16"/>
      <w:lang w:eastAsia="es-ES_tradnl"/>
    </w:rPr>
  </w:style>
  <w:style w:type="character" w:styleId="nfasis">
    <w:name w:val="Emphasis"/>
    <w:basedOn w:val="Fuentedeprrafopredeter"/>
    <w:uiPriority w:val="20"/>
    <w:qFormat/>
    <w:rsid w:val="00701C32"/>
    <w:rPr>
      <w:i/>
      <w:iCs/>
    </w:rPr>
  </w:style>
  <w:style w:type="character" w:customStyle="1" w:styleId="whitespace-normal">
    <w:name w:val="whitespace-normal"/>
    <w:basedOn w:val="Fuentedeprrafopredeter"/>
    <w:rsid w:val="00075CB9"/>
  </w:style>
  <w:style w:type="paragraph" w:customStyle="1" w:styleId="isselectedend">
    <w:name w:val="isselectedend"/>
    <w:basedOn w:val="Normal"/>
    <w:rsid w:val="00EE02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nt-claude-response-body">
    <w:name w:val="font-claude-response-body"/>
    <w:basedOn w:val="Normal"/>
    <w:rsid w:val="00B801D7"/>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9486">
      <w:bodyDiv w:val="1"/>
      <w:marLeft w:val="0"/>
      <w:marRight w:val="0"/>
      <w:marTop w:val="0"/>
      <w:marBottom w:val="0"/>
      <w:divBdr>
        <w:top w:val="none" w:sz="0" w:space="0" w:color="auto"/>
        <w:left w:val="none" w:sz="0" w:space="0" w:color="auto"/>
        <w:bottom w:val="none" w:sz="0" w:space="0" w:color="auto"/>
        <w:right w:val="none" w:sz="0" w:space="0" w:color="auto"/>
      </w:divBdr>
    </w:div>
    <w:div w:id="406344939">
      <w:bodyDiv w:val="1"/>
      <w:marLeft w:val="0"/>
      <w:marRight w:val="0"/>
      <w:marTop w:val="0"/>
      <w:marBottom w:val="0"/>
      <w:divBdr>
        <w:top w:val="none" w:sz="0" w:space="0" w:color="auto"/>
        <w:left w:val="none" w:sz="0" w:space="0" w:color="auto"/>
        <w:bottom w:val="none" w:sz="0" w:space="0" w:color="auto"/>
        <w:right w:val="none" w:sz="0" w:space="0" w:color="auto"/>
      </w:divBdr>
    </w:div>
    <w:div w:id="668484571">
      <w:bodyDiv w:val="1"/>
      <w:marLeft w:val="0"/>
      <w:marRight w:val="0"/>
      <w:marTop w:val="0"/>
      <w:marBottom w:val="0"/>
      <w:divBdr>
        <w:top w:val="none" w:sz="0" w:space="0" w:color="auto"/>
        <w:left w:val="none" w:sz="0" w:space="0" w:color="auto"/>
        <w:bottom w:val="none" w:sz="0" w:space="0" w:color="auto"/>
        <w:right w:val="none" w:sz="0" w:space="0" w:color="auto"/>
      </w:divBdr>
      <w:divsChild>
        <w:div w:id="1183711992">
          <w:marLeft w:val="0"/>
          <w:marRight w:val="0"/>
          <w:marTop w:val="0"/>
          <w:marBottom w:val="0"/>
          <w:divBdr>
            <w:top w:val="none" w:sz="0" w:space="0" w:color="auto"/>
            <w:left w:val="none" w:sz="0" w:space="0" w:color="auto"/>
            <w:bottom w:val="none" w:sz="0" w:space="0" w:color="auto"/>
            <w:right w:val="none" w:sz="0" w:space="0" w:color="auto"/>
          </w:divBdr>
          <w:divsChild>
            <w:div w:id="1159661033">
              <w:marLeft w:val="-225"/>
              <w:marRight w:val="-225"/>
              <w:marTop w:val="0"/>
              <w:marBottom w:val="0"/>
              <w:divBdr>
                <w:top w:val="none" w:sz="0" w:space="0" w:color="auto"/>
                <w:left w:val="none" w:sz="0" w:space="0" w:color="auto"/>
                <w:bottom w:val="none" w:sz="0" w:space="0" w:color="auto"/>
                <w:right w:val="none" w:sz="0" w:space="0" w:color="auto"/>
              </w:divBdr>
              <w:divsChild>
                <w:div w:id="1918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46670">
      <w:bodyDiv w:val="1"/>
      <w:marLeft w:val="0"/>
      <w:marRight w:val="0"/>
      <w:marTop w:val="0"/>
      <w:marBottom w:val="0"/>
      <w:divBdr>
        <w:top w:val="none" w:sz="0" w:space="0" w:color="auto"/>
        <w:left w:val="none" w:sz="0" w:space="0" w:color="auto"/>
        <w:bottom w:val="none" w:sz="0" w:space="0" w:color="auto"/>
        <w:right w:val="none" w:sz="0" w:space="0" w:color="auto"/>
      </w:divBdr>
    </w:div>
    <w:div w:id="875314594">
      <w:bodyDiv w:val="1"/>
      <w:marLeft w:val="0"/>
      <w:marRight w:val="0"/>
      <w:marTop w:val="0"/>
      <w:marBottom w:val="0"/>
      <w:divBdr>
        <w:top w:val="none" w:sz="0" w:space="0" w:color="auto"/>
        <w:left w:val="none" w:sz="0" w:space="0" w:color="auto"/>
        <w:bottom w:val="none" w:sz="0" w:space="0" w:color="auto"/>
        <w:right w:val="none" w:sz="0" w:space="0" w:color="auto"/>
      </w:divBdr>
    </w:div>
    <w:div w:id="927233748">
      <w:bodyDiv w:val="1"/>
      <w:marLeft w:val="0"/>
      <w:marRight w:val="0"/>
      <w:marTop w:val="0"/>
      <w:marBottom w:val="0"/>
      <w:divBdr>
        <w:top w:val="none" w:sz="0" w:space="0" w:color="auto"/>
        <w:left w:val="none" w:sz="0" w:space="0" w:color="auto"/>
        <w:bottom w:val="none" w:sz="0" w:space="0" w:color="auto"/>
        <w:right w:val="none" w:sz="0" w:space="0" w:color="auto"/>
      </w:divBdr>
    </w:div>
    <w:div w:id="932786672">
      <w:bodyDiv w:val="1"/>
      <w:marLeft w:val="0"/>
      <w:marRight w:val="0"/>
      <w:marTop w:val="0"/>
      <w:marBottom w:val="0"/>
      <w:divBdr>
        <w:top w:val="none" w:sz="0" w:space="0" w:color="auto"/>
        <w:left w:val="none" w:sz="0" w:space="0" w:color="auto"/>
        <w:bottom w:val="none" w:sz="0" w:space="0" w:color="auto"/>
        <w:right w:val="none" w:sz="0" w:space="0" w:color="auto"/>
      </w:divBdr>
    </w:div>
    <w:div w:id="1057586087">
      <w:bodyDiv w:val="1"/>
      <w:marLeft w:val="0"/>
      <w:marRight w:val="0"/>
      <w:marTop w:val="0"/>
      <w:marBottom w:val="0"/>
      <w:divBdr>
        <w:top w:val="none" w:sz="0" w:space="0" w:color="auto"/>
        <w:left w:val="none" w:sz="0" w:space="0" w:color="auto"/>
        <w:bottom w:val="none" w:sz="0" w:space="0" w:color="auto"/>
        <w:right w:val="none" w:sz="0" w:space="0" w:color="auto"/>
      </w:divBdr>
    </w:div>
    <w:div w:id="1073966369">
      <w:bodyDiv w:val="1"/>
      <w:marLeft w:val="0"/>
      <w:marRight w:val="0"/>
      <w:marTop w:val="0"/>
      <w:marBottom w:val="0"/>
      <w:divBdr>
        <w:top w:val="none" w:sz="0" w:space="0" w:color="auto"/>
        <w:left w:val="none" w:sz="0" w:space="0" w:color="auto"/>
        <w:bottom w:val="none" w:sz="0" w:space="0" w:color="auto"/>
        <w:right w:val="none" w:sz="0" w:space="0" w:color="auto"/>
      </w:divBdr>
    </w:div>
    <w:div w:id="1131285400">
      <w:bodyDiv w:val="1"/>
      <w:marLeft w:val="0"/>
      <w:marRight w:val="0"/>
      <w:marTop w:val="0"/>
      <w:marBottom w:val="0"/>
      <w:divBdr>
        <w:top w:val="none" w:sz="0" w:space="0" w:color="auto"/>
        <w:left w:val="none" w:sz="0" w:space="0" w:color="auto"/>
        <w:bottom w:val="none" w:sz="0" w:space="0" w:color="auto"/>
        <w:right w:val="none" w:sz="0" w:space="0" w:color="auto"/>
      </w:divBdr>
    </w:div>
    <w:div w:id="1265187534">
      <w:bodyDiv w:val="1"/>
      <w:marLeft w:val="0"/>
      <w:marRight w:val="0"/>
      <w:marTop w:val="0"/>
      <w:marBottom w:val="0"/>
      <w:divBdr>
        <w:top w:val="none" w:sz="0" w:space="0" w:color="auto"/>
        <w:left w:val="none" w:sz="0" w:space="0" w:color="auto"/>
        <w:bottom w:val="none" w:sz="0" w:space="0" w:color="auto"/>
        <w:right w:val="none" w:sz="0" w:space="0" w:color="auto"/>
      </w:divBdr>
    </w:div>
    <w:div w:id="1432820922">
      <w:bodyDiv w:val="1"/>
      <w:marLeft w:val="0"/>
      <w:marRight w:val="0"/>
      <w:marTop w:val="0"/>
      <w:marBottom w:val="0"/>
      <w:divBdr>
        <w:top w:val="none" w:sz="0" w:space="0" w:color="auto"/>
        <w:left w:val="none" w:sz="0" w:space="0" w:color="auto"/>
        <w:bottom w:val="none" w:sz="0" w:space="0" w:color="auto"/>
        <w:right w:val="none" w:sz="0" w:space="0" w:color="auto"/>
      </w:divBdr>
    </w:div>
    <w:div w:id="1603761766">
      <w:bodyDiv w:val="1"/>
      <w:marLeft w:val="0"/>
      <w:marRight w:val="0"/>
      <w:marTop w:val="0"/>
      <w:marBottom w:val="0"/>
      <w:divBdr>
        <w:top w:val="none" w:sz="0" w:space="0" w:color="auto"/>
        <w:left w:val="none" w:sz="0" w:space="0" w:color="auto"/>
        <w:bottom w:val="none" w:sz="0" w:space="0" w:color="auto"/>
        <w:right w:val="none" w:sz="0" w:space="0" w:color="auto"/>
      </w:divBdr>
    </w:div>
    <w:div w:id="1610356330">
      <w:bodyDiv w:val="1"/>
      <w:marLeft w:val="0"/>
      <w:marRight w:val="0"/>
      <w:marTop w:val="0"/>
      <w:marBottom w:val="0"/>
      <w:divBdr>
        <w:top w:val="none" w:sz="0" w:space="0" w:color="auto"/>
        <w:left w:val="none" w:sz="0" w:space="0" w:color="auto"/>
        <w:bottom w:val="none" w:sz="0" w:space="0" w:color="auto"/>
        <w:right w:val="none" w:sz="0" w:space="0" w:color="auto"/>
      </w:divBdr>
    </w:div>
    <w:div w:id="1800151361">
      <w:bodyDiv w:val="1"/>
      <w:marLeft w:val="0"/>
      <w:marRight w:val="0"/>
      <w:marTop w:val="0"/>
      <w:marBottom w:val="0"/>
      <w:divBdr>
        <w:top w:val="none" w:sz="0" w:space="0" w:color="auto"/>
        <w:left w:val="none" w:sz="0" w:space="0" w:color="auto"/>
        <w:bottom w:val="none" w:sz="0" w:space="0" w:color="auto"/>
        <w:right w:val="none" w:sz="0" w:space="0" w:color="auto"/>
      </w:divBdr>
    </w:div>
    <w:div w:id="1834298103">
      <w:bodyDiv w:val="1"/>
      <w:marLeft w:val="0"/>
      <w:marRight w:val="0"/>
      <w:marTop w:val="0"/>
      <w:marBottom w:val="0"/>
      <w:divBdr>
        <w:top w:val="none" w:sz="0" w:space="0" w:color="auto"/>
        <w:left w:val="none" w:sz="0" w:space="0" w:color="auto"/>
        <w:bottom w:val="none" w:sz="0" w:space="0" w:color="auto"/>
        <w:right w:val="none" w:sz="0" w:space="0" w:color="auto"/>
      </w:divBdr>
    </w:div>
    <w:div w:id="1896547145">
      <w:bodyDiv w:val="1"/>
      <w:marLeft w:val="0"/>
      <w:marRight w:val="0"/>
      <w:marTop w:val="0"/>
      <w:marBottom w:val="0"/>
      <w:divBdr>
        <w:top w:val="none" w:sz="0" w:space="0" w:color="auto"/>
        <w:left w:val="none" w:sz="0" w:space="0" w:color="auto"/>
        <w:bottom w:val="none" w:sz="0" w:space="0" w:color="auto"/>
        <w:right w:val="none" w:sz="0" w:space="0" w:color="auto"/>
      </w:divBdr>
    </w:div>
    <w:div w:id="2048798631">
      <w:bodyDiv w:val="1"/>
      <w:marLeft w:val="0"/>
      <w:marRight w:val="0"/>
      <w:marTop w:val="0"/>
      <w:marBottom w:val="0"/>
      <w:divBdr>
        <w:top w:val="none" w:sz="0" w:space="0" w:color="auto"/>
        <w:left w:val="none" w:sz="0" w:space="0" w:color="auto"/>
        <w:bottom w:val="none" w:sz="0" w:space="0" w:color="auto"/>
        <w:right w:val="none" w:sz="0" w:space="0" w:color="auto"/>
      </w:divBdr>
    </w:div>
    <w:div w:id="21418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liveoilworldcongr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oliveoilworldcongress.com" TargetMode="External"/><Relationship Id="rId2" Type="http://schemas.openxmlformats.org/officeDocument/2006/relationships/hyperlink" Target="mailto:info@oliveoilwc.com"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1345</Words>
  <Characters>7401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del Carmen Martínez</dc:creator>
  <cp:keywords/>
  <dc:description/>
  <cp:lastModifiedBy>María del Carmen Martínez</cp:lastModifiedBy>
  <cp:revision>3</cp:revision>
  <dcterms:created xsi:type="dcterms:W3CDTF">2026-07-02T10:16:00Z</dcterms:created>
  <dcterms:modified xsi:type="dcterms:W3CDTF">2026-07-03T10:31:00Z</dcterms:modified>
</cp:coreProperties>
</file>