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2659" w14:textId="6AC7F16B" w:rsidR="00830A61" w:rsidRPr="00196730" w:rsidRDefault="00196730" w:rsidP="00196730">
      <w:pPr>
        <w:spacing w:after="120" w:line="240" w:lineRule="auto"/>
        <w:jc w:val="center"/>
        <w:rPr>
          <w:rFonts w:eastAsia="Arial" w:cstheme="minorHAnsi"/>
          <w:b/>
          <w:bCs/>
          <w:sz w:val="44"/>
          <w:szCs w:val="44"/>
          <w:lang w:val="es-ES" w:eastAsia="es-ES"/>
        </w:rPr>
      </w:pPr>
      <w:r>
        <w:rPr>
          <w:rFonts w:eastAsia="Arial" w:cstheme="minorHAnsi"/>
          <w:b/>
          <w:bCs/>
          <w:sz w:val="44"/>
          <w:szCs w:val="44"/>
          <w:lang w:val="es-ES" w:eastAsia="es-ES"/>
        </w:rPr>
        <w:t>El aceite de oliva conquista el mundo mientras el cambio climático lo acorrala en origen</w:t>
      </w:r>
    </w:p>
    <w:p w14:paraId="326BDEFA" w14:textId="77777777" w:rsidR="005A59B5" w:rsidRDefault="005A59B5" w:rsidP="005A59B5">
      <w:pPr>
        <w:jc w:val="both"/>
        <w:rPr>
          <w:rFonts w:eastAsia="Times New Roman" w:cstheme="minorHAnsi"/>
          <w:b/>
          <w:bCs/>
          <w:lang w:eastAsia="es-ES"/>
        </w:rPr>
      </w:pPr>
    </w:p>
    <w:p w14:paraId="705C7ABB" w14:textId="3102AA16" w:rsidR="005A59B5" w:rsidRPr="00196730" w:rsidRDefault="00177403" w:rsidP="003520CD">
      <w:pPr>
        <w:pStyle w:val="Prrafodelista"/>
        <w:numPr>
          <w:ilvl w:val="0"/>
          <w:numId w:val="26"/>
        </w:numPr>
        <w:jc w:val="both"/>
        <w:rPr>
          <w:rFonts w:eastAsia="Times New Roman" w:cstheme="minorHAnsi"/>
          <w:b/>
          <w:bCs/>
          <w:lang w:eastAsia="es-ES"/>
        </w:rPr>
      </w:pPr>
      <w:r>
        <w:rPr>
          <w:rFonts w:eastAsia="Times New Roman" w:cstheme="minorHAnsi"/>
          <w:b/>
          <w:bCs/>
          <w:lang w:val="es-ES" w:eastAsia="es-ES"/>
        </w:rPr>
        <w:t>El Olive Oil World Congress 2026 reunió en Lisboa, los días 2 y 3 de julio, a científicos, productores, instituciones y representantes de países productores y consumidores de los cinco continentes. El encuentro cerró con un mensaje que trasciende el debate técnico habitual: el aceite de oliva es un producto estratégico y su futuro se decide en cuatro frentes —clima, tecnología, calidad y comunicación— que el sector ya no puede afrontar por separado</w:t>
      </w:r>
    </w:p>
    <w:p w14:paraId="313ABD8E" w14:textId="68753C13" w:rsidR="00177403" w:rsidRPr="00196730" w:rsidRDefault="00177403" w:rsidP="00196730">
      <w:pPr>
        <w:pStyle w:val="font-claude-response-body"/>
        <w:numPr>
          <w:ilvl w:val="0"/>
          <w:numId w:val="26"/>
        </w:numPr>
        <w:jc w:val="both"/>
        <w:rPr>
          <w:rFonts w:asciiTheme="minorHAnsi" w:hAnsiTheme="minorHAnsi" w:cstheme="minorHAnsi"/>
          <w:sz w:val="22"/>
          <w:szCs w:val="22"/>
        </w:rPr>
      </w:pPr>
      <w:r>
        <w:rPr>
          <w:rFonts w:asciiTheme="minorHAnsi" w:hAnsiTheme="minorHAnsi" w:cstheme="minorHAnsi"/>
          <w:b/>
          <w:bCs/>
          <w:sz w:val="22"/>
          <w:szCs w:val="22"/>
        </w:rPr>
        <w:t>Cada 25 gramos adicionales de aceite de oliva al día reducen un 16% el riesgo cardiovascular, un 22% el de diabetes y un 11% la mortalidad por cualquier causa. Es lo que confirman los grandes ensayos clínicos PREDIMED y CORDIOPREV, y es también el argumento más poderoso que tiene el sector para conquistar mercados donde el consumo se ha disparado más de un 400%</w:t>
      </w:r>
    </w:p>
    <w:p w14:paraId="03AD6A86" w14:textId="1930E840" w:rsidR="00196730" w:rsidRDefault="00620542" w:rsidP="00177403">
      <w:pPr>
        <w:pStyle w:val="font-claude-response-body"/>
        <w:jc w:val="both"/>
        <w:rPr>
          <w:rFonts w:asciiTheme="minorHAnsi" w:hAnsiTheme="minorHAnsi" w:cstheme="minorHAnsi"/>
          <w:sz w:val="22"/>
          <w:szCs w:val="22"/>
          <w:lang w:val="es-ES_tradnl"/>
        </w:rPr>
      </w:pPr>
      <w:r>
        <w:rPr>
          <w:rFonts w:asciiTheme="minorHAnsi" w:hAnsiTheme="minorHAnsi" w:cstheme="minorHAnsi"/>
          <w:b/>
          <w:bCs/>
          <w:sz w:val="22"/>
          <w:szCs w:val="22"/>
        </w:rPr>
        <w:t xml:space="preserve">Madrid, a </w:t>
      </w:r>
      <w:r w:rsidR="001039E3">
        <w:rPr>
          <w:rFonts w:asciiTheme="minorHAnsi" w:hAnsiTheme="minorHAnsi" w:cstheme="minorHAnsi"/>
          <w:b/>
          <w:bCs/>
          <w:sz w:val="22"/>
          <w:szCs w:val="22"/>
        </w:rPr>
        <w:t>16</w:t>
      </w:r>
      <w:r>
        <w:rPr>
          <w:rFonts w:asciiTheme="minorHAnsi" w:hAnsiTheme="minorHAnsi" w:cstheme="minorHAnsi"/>
          <w:b/>
          <w:bCs/>
          <w:sz w:val="22"/>
          <w:szCs w:val="22"/>
        </w:rPr>
        <w:t xml:space="preserve"> de julio de 2026.-</w:t>
      </w:r>
      <w:r>
        <w:rPr>
          <w:rFonts w:asciiTheme="minorHAnsi" w:hAnsiTheme="minorHAnsi" w:cstheme="minorHAnsi"/>
          <w:sz w:val="22"/>
          <w:szCs w:val="22"/>
        </w:rPr>
        <w:t xml:space="preserve"> </w:t>
      </w:r>
      <w:r>
        <w:rPr>
          <w:rFonts w:asciiTheme="minorHAnsi" w:hAnsiTheme="minorHAnsi" w:cstheme="minorHAnsi"/>
          <w:sz w:val="22"/>
          <w:szCs w:val="22"/>
          <w:lang w:val="es-ES_tradnl"/>
        </w:rPr>
        <w:t xml:space="preserve">El </w:t>
      </w:r>
      <w:r>
        <w:rPr>
          <w:rFonts w:asciiTheme="minorHAnsi" w:hAnsiTheme="minorHAnsi" w:cstheme="minorHAnsi"/>
          <w:b/>
          <w:bCs/>
          <w:sz w:val="22"/>
          <w:szCs w:val="22"/>
          <w:lang w:val="es-ES_tradnl"/>
        </w:rPr>
        <w:t>Olive Oil World Congress (OOWC)</w:t>
      </w:r>
      <w:r>
        <w:rPr>
          <w:rFonts w:asciiTheme="minorHAnsi" w:hAnsiTheme="minorHAnsi" w:cstheme="minorHAnsi"/>
          <w:sz w:val="22"/>
          <w:szCs w:val="22"/>
          <w:lang w:val="es-ES_tradnl"/>
        </w:rPr>
        <w:t>, celebrado el 2 y 3 de julio en el Centro Cultural de Belém, ha cerrado sus sesiones con un diagnóstico claro y conclusiones que van más allá del debate técnico habitual: el aceite de oliva es un activo estratégico cuyo futuro depende de cuatro frentes —clima, tecnología, calidad y comunicación— que el sector ya no puede seguir abordando por separado.</w:t>
      </w:r>
    </w:p>
    <w:p w14:paraId="19D974AD" w14:textId="2EDC3BB2"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El primero y más urgente es el climático. La región mediterránea se calienta al doble de la media mundial, y las proyecciones apuntan a una reducción de hasta el </w:t>
      </w:r>
      <w:r>
        <w:rPr>
          <w:rFonts w:asciiTheme="minorHAnsi" w:hAnsiTheme="minorHAnsi" w:cstheme="minorHAnsi"/>
          <w:b/>
          <w:bCs/>
          <w:sz w:val="22"/>
          <w:szCs w:val="22"/>
        </w:rPr>
        <w:t>44% en el rendimiento del olivar en el sur de España</w:t>
      </w:r>
      <w:r>
        <w:rPr>
          <w:rFonts w:asciiTheme="minorHAnsi" w:hAnsiTheme="minorHAnsi" w:cstheme="minorHAnsi"/>
          <w:sz w:val="22"/>
          <w:szCs w:val="22"/>
        </w:rPr>
        <w:t>, con más plagas, floración alterada y episodios de calor extremo cada vez más tempranos. La respuesta pasa por conservar la diversidad genética —el proyecto GEN4OLIVE ha caracterizado más de 600 variedades y depositado material en la Bóveda Global de Semillas de Svalbard—, desarrollar variedades resistentes y gestionar mejor el agua y el suelo. La supervivencia de las pequeñas y medianas explotaciones, que sostienen el paisaje mediterráneo, sigue siendo la preocupación más urgente.</w:t>
      </w:r>
    </w:p>
    <w:p w14:paraId="465DC659"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b/>
          <w:bCs/>
          <w:sz w:val="22"/>
          <w:szCs w:val="22"/>
        </w:rPr>
        <w:t>Tecnología que aún no llega a todos</w:t>
      </w:r>
    </w:p>
    <w:p w14:paraId="168F1256"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Frente a ese escenario, la digitalización emerge como palanca clave: IA, drones y sensores permiten ahorros documentados del </w:t>
      </w:r>
      <w:r>
        <w:rPr>
          <w:rFonts w:asciiTheme="minorHAnsi" w:hAnsiTheme="minorHAnsi" w:cstheme="minorHAnsi"/>
          <w:b/>
          <w:bCs/>
          <w:sz w:val="22"/>
          <w:szCs w:val="22"/>
        </w:rPr>
        <w:t>68% en agua de riego</w:t>
      </w:r>
      <w:r>
        <w:rPr>
          <w:rFonts w:asciiTheme="minorHAnsi" w:hAnsiTheme="minorHAnsi" w:cstheme="minorHAnsi"/>
          <w:sz w:val="22"/>
          <w:szCs w:val="22"/>
        </w:rPr>
        <w:t xml:space="preserve"> y el </w:t>
      </w:r>
      <w:r>
        <w:rPr>
          <w:rFonts w:asciiTheme="minorHAnsi" w:hAnsiTheme="minorHAnsi" w:cstheme="minorHAnsi"/>
          <w:b/>
          <w:bCs/>
          <w:sz w:val="22"/>
          <w:szCs w:val="22"/>
        </w:rPr>
        <w:t>35% en fitosanitarios</w:t>
      </w:r>
      <w:r>
        <w:rPr>
          <w:rFonts w:asciiTheme="minorHAnsi" w:hAnsiTheme="minorHAnsi" w:cstheme="minorHAnsi"/>
          <w:sz w:val="22"/>
          <w:szCs w:val="22"/>
        </w:rPr>
        <w:t xml:space="preserve">, y la almazara del futuro será más conectada y predictiva. Pero la adopción tecnológica sigue siendo el cuello de botella real. Las herramientas avanzadas llegan tarde a los pequeños productores, precisamente cuando la recolección supone por sí sola cerca de la </w:t>
      </w:r>
      <w:r>
        <w:rPr>
          <w:rFonts w:asciiTheme="minorHAnsi" w:hAnsiTheme="minorHAnsi" w:cstheme="minorHAnsi"/>
          <w:b/>
          <w:bCs/>
          <w:sz w:val="22"/>
          <w:szCs w:val="22"/>
        </w:rPr>
        <w:t>mitad del coste de producción</w:t>
      </w:r>
      <w:r>
        <w:rPr>
          <w:rFonts w:asciiTheme="minorHAnsi" w:hAnsiTheme="minorHAnsi" w:cstheme="minorHAnsi"/>
          <w:sz w:val="22"/>
          <w:szCs w:val="22"/>
        </w:rPr>
        <w:t xml:space="preserve"> en el olivar tradicional. Sin formación y sin nuevos modelos de negocio, la tecnología sola no alcanza.</w:t>
      </w:r>
    </w:p>
    <w:p w14:paraId="09BF2418" w14:textId="30E4AC56"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b/>
          <w:bCs/>
          <w:sz w:val="22"/>
          <w:szCs w:val="22"/>
        </w:rPr>
        <w:lastRenderedPageBreak/>
        <w:t>Fraude, calidad y los 40 años del panel de cata</w:t>
      </w:r>
    </w:p>
    <w:p w14:paraId="04D85EB3"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Producir más y mejor no sirve de nada si el producto que llega al mercado no es lo que dice ser. El aceite de oliva sigue siendo uno de los alimentos más expuestos al fraude: las amenazas más difíciles de combatir son la </w:t>
      </w:r>
      <w:r>
        <w:rPr>
          <w:rFonts w:asciiTheme="minorHAnsi" w:hAnsiTheme="minorHAnsi" w:cstheme="minorHAnsi"/>
          <w:b/>
          <w:bCs/>
          <w:sz w:val="22"/>
          <w:szCs w:val="22"/>
        </w:rPr>
        <w:t>desodorización suave</w:t>
      </w:r>
      <w:r>
        <w:rPr>
          <w:rFonts w:asciiTheme="minorHAnsi" w:hAnsiTheme="minorHAnsi" w:cstheme="minorHAnsi"/>
          <w:sz w:val="22"/>
          <w:szCs w:val="22"/>
        </w:rPr>
        <w:t xml:space="preserve"> —que elimina defectos sin dejar rastros analíticos evidentes— y las mezclas diseñadas para eludir los controles. El Congreso defendió la armonización entre el Codex Alimentarius y el COI, el uso de esteroles como huella de autenticidad y la resonancia magnética nuclear (RMN) como técnica emergente de verificación. Los </w:t>
      </w:r>
      <w:r>
        <w:rPr>
          <w:rFonts w:asciiTheme="minorHAnsi" w:hAnsiTheme="minorHAnsi" w:cstheme="minorHAnsi"/>
          <w:b/>
          <w:bCs/>
          <w:sz w:val="22"/>
          <w:szCs w:val="22"/>
        </w:rPr>
        <w:t>árboles de decisión del COI</w:t>
      </w:r>
      <w:r>
        <w:rPr>
          <w:rFonts w:asciiTheme="minorHAnsi" w:hAnsiTheme="minorHAnsi" w:cstheme="minorHAnsi"/>
          <w:sz w:val="22"/>
          <w:szCs w:val="22"/>
        </w:rPr>
        <w:t xml:space="preserve"> permiten además que aceites auténticos que caen fuera de los límites de pureza por variación natural puedan comercializarse sin debilitar la detección del fraude. En ese contexto, el panel de cata —que cumple 40 años— sigue siendo irreemplazable: 150 paneles registrados en 2026, presencia en 27 países. Su futuro pasa por integrarse con la nariz electrónica, la IA y los biomarcadores, y por resolver un reto pendiente: que el consumidor aprenda a valorar el </w:t>
      </w:r>
      <w:r>
        <w:rPr>
          <w:rFonts w:asciiTheme="minorHAnsi" w:hAnsiTheme="minorHAnsi" w:cstheme="minorHAnsi"/>
          <w:b/>
          <w:bCs/>
          <w:sz w:val="22"/>
          <w:szCs w:val="22"/>
        </w:rPr>
        <w:t>amargor y el picor</w:t>
      </w:r>
      <w:r>
        <w:rPr>
          <w:rFonts w:asciiTheme="minorHAnsi" w:hAnsiTheme="minorHAnsi" w:cstheme="minorHAnsi"/>
          <w:sz w:val="22"/>
          <w:szCs w:val="22"/>
        </w:rPr>
        <w:t xml:space="preserve"> como señales de calidad, no de defecto.</w:t>
      </w:r>
    </w:p>
    <w:p w14:paraId="7BB5B26B"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b/>
          <w:bCs/>
          <w:sz w:val="22"/>
          <w:szCs w:val="22"/>
        </w:rPr>
        <w:t>La evidencia científica, el mayor activo del sector</w:t>
      </w:r>
    </w:p>
    <w:p w14:paraId="048AB853"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A la calidad se suma la salud como diferenciador de peso. Los ensayos PREDIMED y CORDIOPREV confirman que cada </w:t>
      </w:r>
      <w:r>
        <w:rPr>
          <w:rFonts w:asciiTheme="minorHAnsi" w:hAnsiTheme="minorHAnsi" w:cstheme="minorHAnsi"/>
          <w:b/>
          <w:bCs/>
          <w:sz w:val="22"/>
          <w:szCs w:val="22"/>
        </w:rPr>
        <w:t>25 gramos adicionales de aceite de oliva al día</w:t>
      </w:r>
      <w:r>
        <w:rPr>
          <w:rFonts w:asciiTheme="minorHAnsi" w:hAnsiTheme="minorHAnsi" w:cstheme="minorHAnsi"/>
          <w:sz w:val="22"/>
          <w:szCs w:val="22"/>
        </w:rPr>
        <w:t xml:space="preserve"> reducen un 16% el riesgo cardiovascular, un 22% el de diabetes y un 11% la mortalidad por cualquier causa. La investigación avanza hacia los polifenoles —hidroxitirosol, oleuropeína y oleocantal— y su papel en la salud cerebral y el envejecimiento saludable, abriendo además la vía de los nutracéuticos a partir de los subproductos del olivo.</w:t>
      </w:r>
    </w:p>
    <w:p w14:paraId="58CDE898"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b/>
          <w:bCs/>
          <w:sz w:val="22"/>
          <w:szCs w:val="22"/>
        </w:rPr>
        <w:t>Sostenibilidad verificada, no declarada</w:t>
      </w:r>
    </w:p>
    <w:p w14:paraId="6E610202"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Y junto a la salud, la sostenibilidad: no como argumento de marketing, sino como infraestructura de confianza. Los 11 millones de hectáreas de olivar actúan como sumideros de carbono; el COI desarrolla un sistema de certificación de créditos de carbono respaldado por blockchain; y la economía circular ofrece un horizonte enorme: solo el 20% del peso de la aceituna se convierte en aceite, mientras que el 80% restante puede transformarse en energía, biofertilizantes y antioxidantes. La biodiversidad y los servicios ecosistémicos del olivar tienen además un valor económico medible, y los marcos </w:t>
      </w:r>
      <w:r>
        <w:rPr>
          <w:rFonts w:asciiTheme="minorHAnsi" w:hAnsiTheme="minorHAnsi" w:cstheme="minorHAnsi"/>
          <w:b/>
          <w:bCs/>
          <w:sz w:val="22"/>
          <w:szCs w:val="22"/>
        </w:rPr>
        <w:t>ESG y CSRD</w:t>
      </w:r>
      <w:r>
        <w:rPr>
          <w:rFonts w:asciiTheme="minorHAnsi" w:hAnsiTheme="minorHAnsi" w:cstheme="minorHAnsi"/>
          <w:sz w:val="22"/>
          <w:szCs w:val="22"/>
        </w:rPr>
        <w:t xml:space="preserve"> están convirtiendo la sostenibilidad verificada en condición de acceso a los mercados, no en valor añadido opcional. El Congreso zanjó además el debate de fondo: tanto los sistemas tradicionales como los intensivos pueden ser sostenibles, siempre que se gestionen bien.</w:t>
      </w:r>
    </w:p>
    <w:p w14:paraId="1A96EB0F"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b/>
          <w:bCs/>
          <w:sz w:val="22"/>
          <w:szCs w:val="22"/>
        </w:rPr>
        <w:t>Del volumen al valor, y de la producción a la narrativa</w:t>
      </w:r>
    </w:p>
    <w:p w14:paraId="2AC45A52" w14:textId="77777777" w:rsidR="00177403" w:rsidRPr="00177403" w:rsidRDefault="00177403" w:rsidP="00177403">
      <w:pPr>
        <w:pStyle w:val="font-claude-response-body"/>
        <w:jc w:val="both"/>
        <w:rPr>
          <w:rFonts w:asciiTheme="minorHAnsi" w:hAnsiTheme="minorHAnsi" w:cstheme="minorHAnsi"/>
          <w:sz w:val="22"/>
          <w:szCs w:val="22"/>
        </w:rPr>
      </w:pPr>
      <w:r>
        <w:rPr>
          <w:rFonts w:asciiTheme="minorHAnsi" w:hAnsiTheme="minorHAnsi" w:cstheme="minorHAnsi"/>
          <w:sz w:val="22"/>
          <w:szCs w:val="22"/>
        </w:rPr>
        <w:t xml:space="preserve">Todo ello en un mercado que no ha dejado de crecer: el consumo mundial ha crecido un </w:t>
      </w:r>
      <w:r>
        <w:rPr>
          <w:rFonts w:asciiTheme="minorHAnsi" w:hAnsiTheme="minorHAnsi" w:cstheme="minorHAnsi"/>
          <w:b/>
          <w:bCs/>
          <w:sz w:val="22"/>
          <w:szCs w:val="22"/>
        </w:rPr>
        <w:t>83% desde los años noventa</w:t>
      </w:r>
      <w:r>
        <w:rPr>
          <w:rFonts w:asciiTheme="minorHAnsi" w:hAnsiTheme="minorHAnsi" w:cstheme="minorHAnsi"/>
          <w:sz w:val="22"/>
          <w:szCs w:val="22"/>
        </w:rPr>
        <w:t xml:space="preserve"> y alcanza hoy los 3,2 millones de toneladas, con EE.UU. como primer importador (35%) y crecimientos superiores al 400% en mercados no pertenecientes al COI como Brasil, China o Japón. Pero la gran conclusión del Congreso no fue un dato de producción: </w:t>
      </w:r>
      <w:r>
        <w:rPr>
          <w:rFonts w:asciiTheme="minorHAnsi" w:hAnsiTheme="minorHAnsi" w:cstheme="minorHAnsi"/>
          <w:sz w:val="22"/>
          <w:szCs w:val="22"/>
        </w:rPr>
        <w:lastRenderedPageBreak/>
        <w:t xml:space="preserve">fue que los consumidores ya no compran aceite, sino </w:t>
      </w:r>
      <w:r>
        <w:rPr>
          <w:rFonts w:asciiTheme="minorHAnsi" w:hAnsiTheme="minorHAnsi" w:cstheme="minorHAnsi"/>
          <w:b/>
          <w:bCs/>
          <w:sz w:val="22"/>
          <w:szCs w:val="22"/>
        </w:rPr>
        <w:t>confianza, autenticidad, identidad y experiencia</w:t>
      </w:r>
      <w:r>
        <w:rPr>
          <w:rFonts w:asciiTheme="minorHAnsi" w:hAnsiTheme="minorHAnsi" w:cstheme="minorHAnsi"/>
          <w:sz w:val="22"/>
          <w:szCs w:val="22"/>
        </w:rPr>
        <w:t>. No existe una fórmula universal —cada mercado, cultura y generación exige mensajes y canales distintos—, y las redes sociales son hoy imprescindibles para los más jóvenes. El storytelling de origen y el oleoturismo convierten a los visitantes en embajadores. Los niños de hoy serán los consumidores del mañana.</w:t>
      </w:r>
    </w:p>
    <w:p w14:paraId="29C11135" w14:textId="49C9B449" w:rsidR="00356803" w:rsidRPr="00702B18" w:rsidRDefault="00356803" w:rsidP="00177403">
      <w:pPr>
        <w:pStyle w:val="font-claude-response-body"/>
        <w:jc w:val="both"/>
        <w:rPr>
          <w:rFonts w:asciiTheme="minorHAnsi" w:hAnsiTheme="minorHAnsi" w:cstheme="minorHAnsi"/>
          <w:b/>
          <w:bCs/>
          <w:sz w:val="22"/>
          <w:szCs w:val="22"/>
        </w:rPr>
      </w:pPr>
      <w:r>
        <w:rPr>
          <w:rFonts w:asciiTheme="minorHAnsi" w:hAnsiTheme="minorHAnsi" w:cstheme="minorHAnsi"/>
          <w:sz w:val="22"/>
          <w:szCs w:val="22"/>
        </w:rPr>
        <w:t xml:space="preserve">El Congreso contó con el respaldo institucional del </w:t>
      </w:r>
      <w:r>
        <w:rPr>
          <w:rFonts w:asciiTheme="minorHAnsi" w:hAnsiTheme="minorHAnsi" w:cstheme="minorHAnsi"/>
          <w:b/>
          <w:bCs/>
          <w:sz w:val="22"/>
          <w:szCs w:val="22"/>
        </w:rPr>
        <w:t>Consejo Oleícola Internacional (COI), el CIHEAM Zaragoza y la Fundación Dieta Mediterránea,</w:t>
      </w:r>
      <w:r>
        <w:rPr>
          <w:rFonts w:asciiTheme="minorHAnsi" w:hAnsiTheme="minorHAnsi" w:cstheme="minorHAnsi"/>
          <w:sz w:val="22"/>
          <w:szCs w:val="22"/>
        </w:rPr>
        <w:t xml:space="preserve"> junto a entidades públicas como el </w:t>
      </w:r>
      <w:r>
        <w:rPr>
          <w:rFonts w:asciiTheme="minorHAnsi" w:hAnsiTheme="minorHAnsi" w:cstheme="minorHAnsi"/>
          <w:b/>
          <w:bCs/>
          <w:sz w:val="22"/>
          <w:szCs w:val="22"/>
        </w:rPr>
        <w:t>Ministerio de Agricultura y Asuntos Marítimos de Portugal, la Junta de Castilla-La Mancha ('Campo y Alma'), la Generalitat de Catalunya, la Junta de Andalucía y el IMIDRA.</w:t>
      </w:r>
    </w:p>
    <w:p w14:paraId="6EBDD9E5" w14:textId="77777777" w:rsidR="00356803" w:rsidRDefault="00356803" w:rsidP="005824C2">
      <w:pPr>
        <w:pBdr>
          <w:bottom w:val="single" w:sz="4" w:space="4" w:color="5A7A35"/>
        </w:pBdr>
        <w:spacing w:before="200" w:after="100"/>
        <w:jc w:val="both"/>
        <w:rPr>
          <w:rFonts w:cstheme="minorHAnsi"/>
          <w:b/>
          <w:bCs/>
          <w:lang w:val="es-ES"/>
        </w:rPr>
      </w:pPr>
      <w:r>
        <w:rPr>
          <w:rFonts w:cstheme="minorHAnsi"/>
          <w:lang w:val="es-ES"/>
        </w:rPr>
        <w:t xml:space="preserve">En el ámbito privado respaldan, por ahora, esta segunda edición, además de </w:t>
      </w:r>
      <w:r>
        <w:rPr>
          <w:rFonts w:cstheme="minorHAnsi"/>
          <w:b/>
          <w:bCs/>
          <w:lang w:val="es-ES"/>
        </w:rPr>
        <w:t>Olivum</w:t>
      </w:r>
      <w:r>
        <w:rPr>
          <w:rFonts w:cstheme="minorHAnsi"/>
          <w:lang w:val="es-ES"/>
        </w:rPr>
        <w:t xml:space="preserve">, entidades como </w:t>
      </w:r>
      <w:r>
        <w:rPr>
          <w:rFonts w:cstheme="minorHAnsi"/>
          <w:b/>
          <w:bCs/>
          <w:lang w:val="es-ES"/>
        </w:rPr>
        <w:t xml:space="preserve">AgroBank, BPI de Grupo Caixabank, la Interprofesional del Aceite de Oliva Español, GEA Group, Novonesis-Univar Solutions, APOAC (Associação para a Promoção do Olival e Azeite de Aire e Candeeiros) con su marca comercial ‘Olivedos do Carso’, Adsaica (Associação de Desenvolvimento das Serras de Aire e Candeeiros), Feria de Zaragoza (ENOMAQ), Kubota, </w:t>
      </w:r>
      <w:proofErr w:type="spellStart"/>
      <w:r>
        <w:rPr>
          <w:rFonts w:cstheme="minorHAnsi"/>
          <w:b/>
          <w:bCs/>
          <w:lang w:val="es-ES"/>
        </w:rPr>
        <w:t>Dazeite</w:t>
      </w:r>
      <w:proofErr w:type="spellEnd"/>
      <w:r>
        <w:rPr>
          <w:rFonts w:cstheme="minorHAnsi"/>
          <w:b/>
          <w:bCs/>
          <w:lang w:val="es-ES"/>
        </w:rPr>
        <w:t xml:space="preserve"> y </w:t>
      </w:r>
      <w:proofErr w:type="spellStart"/>
      <w:r>
        <w:rPr>
          <w:rFonts w:cstheme="minorHAnsi"/>
          <w:b/>
          <w:bCs/>
          <w:lang w:val="es-ES"/>
        </w:rPr>
        <w:t>Siliker</w:t>
      </w:r>
      <w:proofErr w:type="spellEnd"/>
      <w:r>
        <w:rPr>
          <w:rFonts w:cstheme="minorHAnsi"/>
          <w:b/>
          <w:bCs/>
          <w:lang w:val="es-ES"/>
        </w:rPr>
        <w:t>.</w:t>
      </w:r>
    </w:p>
    <w:p w14:paraId="67757559" w14:textId="25F44CA1" w:rsidR="001039E3" w:rsidRDefault="001039E3" w:rsidP="005824C2">
      <w:pPr>
        <w:pBdr>
          <w:bottom w:val="single" w:sz="4" w:space="4" w:color="5A7A35"/>
        </w:pBdr>
        <w:spacing w:before="200" w:after="100"/>
        <w:jc w:val="both"/>
        <w:rPr>
          <w:rFonts w:cstheme="minorHAnsi"/>
          <w:lang w:val="es-ES"/>
        </w:rPr>
      </w:pPr>
      <w:r>
        <w:rPr>
          <w:rFonts w:cstheme="minorHAnsi"/>
          <w:b/>
          <w:bCs/>
          <w:lang w:val="es-ES"/>
        </w:rPr>
        <w:t xml:space="preserve">Enlace descarga documento Conclusiones OOWC: </w:t>
      </w:r>
      <w:hyperlink r:id="rId7" w:history="1">
        <w:r w:rsidRPr="00A40AC9">
          <w:rPr>
            <w:rStyle w:val="Hipervnculo"/>
            <w:rFonts w:cstheme="minorHAnsi"/>
            <w:b/>
            <w:bCs/>
            <w:lang w:val="es-ES"/>
          </w:rPr>
          <w:t>https://www.oliveoilworldcongress.com/conclusiones-oowc-2026</w:t>
        </w:r>
      </w:hyperlink>
      <w:r>
        <w:rPr>
          <w:rFonts w:cstheme="minorHAnsi"/>
          <w:b/>
          <w:bCs/>
          <w:lang w:val="es-ES"/>
        </w:rPr>
        <w:t xml:space="preserve"> </w:t>
      </w:r>
    </w:p>
    <w:p w14:paraId="7A330FA8" w14:textId="77777777" w:rsidR="00F37A17" w:rsidRPr="00FF2D3E" w:rsidRDefault="00356803" w:rsidP="00F37A17">
      <w:pPr>
        <w:pBdr>
          <w:bottom w:val="single" w:sz="4" w:space="4" w:color="5A7A35"/>
        </w:pBdr>
        <w:spacing w:before="200" w:after="100"/>
        <w:jc w:val="both"/>
        <w:rPr>
          <w:rFonts w:cstheme="minorHAnsi"/>
          <w:b/>
          <w:bCs/>
          <w:sz w:val="20"/>
          <w:szCs w:val="20"/>
        </w:rPr>
      </w:pPr>
      <w:r>
        <w:rPr>
          <w:rFonts w:cstheme="minorHAnsi"/>
          <w:b/>
          <w:bCs/>
          <w:sz w:val="20"/>
          <w:szCs w:val="20"/>
        </w:rPr>
        <w:t>Sobre el OOWC:</w:t>
      </w:r>
    </w:p>
    <w:p w14:paraId="3F7843E1" w14:textId="3F43BBE9" w:rsidR="00B52847" w:rsidRPr="00FF2D3E" w:rsidRDefault="00AC2C2F" w:rsidP="00AC2C2F">
      <w:pPr>
        <w:pBdr>
          <w:bottom w:val="single" w:sz="4" w:space="4" w:color="5A7A35"/>
        </w:pBdr>
        <w:spacing w:before="200" w:after="100"/>
        <w:jc w:val="both"/>
        <w:rPr>
          <w:sz w:val="20"/>
          <w:szCs w:val="20"/>
        </w:rPr>
      </w:pPr>
      <w:r>
        <w:rPr>
          <w:rFonts w:eastAsia="Times New Roman" w:cstheme="minorHAnsi"/>
          <w:color w:val="333333"/>
          <w:sz w:val="20"/>
          <w:szCs w:val="20"/>
          <w:lang w:eastAsia="es-ES_tradnl"/>
        </w:rPr>
        <w:t>El </w:t>
      </w:r>
      <w:r>
        <w:rPr>
          <w:rFonts w:eastAsia="Times New Roman" w:cstheme="minorHAnsi"/>
          <w:b/>
          <w:bCs/>
          <w:color w:val="333333"/>
          <w:sz w:val="20"/>
          <w:szCs w:val="20"/>
          <w:lang w:eastAsia="es-ES_tradnl"/>
        </w:rPr>
        <w:t>Congreso Mundial del Aceite de Oliva</w:t>
      </w:r>
      <w:r>
        <w:rPr>
          <w:rFonts w:eastAsia="Times New Roman" w:cstheme="minorHAnsi"/>
          <w:color w:val="333333"/>
          <w:sz w:val="20"/>
          <w:szCs w:val="20"/>
          <w:lang w:eastAsia="es-ES_tradnl"/>
        </w:rPr>
        <w:t xml:space="preserve"> es un foro bienal que reúne a los principales expertos mundiales en cada materia, generando conocimiento e impulsando la innovación en todos los eslabones de la cadena de valor del aceite de oliva. Su segunda edición, celebrada en Lisboa en julio de 2026, ha consolidado el OOWC como el principal punto de encuentro del sector oleícola a escala global. </w:t>
      </w:r>
      <w:r>
        <w:rPr>
          <w:sz w:val="20"/>
          <w:szCs w:val="20"/>
        </w:rPr>
        <w:t xml:space="preserve">Más información en: </w:t>
      </w:r>
      <w:hyperlink r:id="rId8" w:history="1">
        <w:r>
          <w:rPr>
            <w:rStyle w:val="Hipervnculo"/>
            <w:sz w:val="20"/>
            <w:szCs w:val="20"/>
          </w:rPr>
          <w:t>www.oliveoilworldcongress.com</w:t>
        </w:r>
      </w:hyperlink>
      <w:r>
        <w:rPr>
          <w:sz w:val="20"/>
          <w:szCs w:val="20"/>
        </w:rPr>
        <w:t>.</w:t>
      </w:r>
    </w:p>
    <w:sectPr w:rsidR="00B52847" w:rsidRPr="00FF2D3E" w:rsidSect="004839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9215" w14:textId="77777777" w:rsidR="00270DF9" w:rsidRDefault="00270DF9" w:rsidP="00E83E50">
      <w:pPr>
        <w:spacing w:after="0" w:line="240" w:lineRule="auto"/>
      </w:pPr>
      <w:r>
        <w:separator/>
      </w:r>
    </w:p>
  </w:endnote>
  <w:endnote w:type="continuationSeparator" w:id="0">
    <w:p w14:paraId="37F677F5" w14:textId="77777777" w:rsidR="00270DF9" w:rsidRDefault="00270DF9"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3F815DDD" w:rsidR="0069392A" w:rsidRPr="002B29C3" w:rsidRDefault="0087784B" w:rsidP="0087784B">
    <w:pPr>
      <w:jc w:val="center"/>
      <w:rPr>
        <w:lang w:val="es-ES"/>
      </w:rPr>
    </w:pPr>
    <w:r w:rsidRPr="00B424A0">
      <w:rPr>
        <w:b/>
        <w:bCs/>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B424A0">
      <w:rPr>
        <w:b/>
        <w:bCs/>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B424A0">
      <w:rPr>
        <w:b/>
        <w:bCs/>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356803" w:rsidRPr="00B424A0">
      <w:rPr>
        <w:b/>
        <w:bCs/>
        <w:noProof/>
        <w:sz w:val="18"/>
        <w:szCs w:val="18"/>
        <w:lang w:val="es-ES" w:eastAsia="es-ES"/>
      </w:rPr>
      <w:t>Departamento de Prensa</w:t>
    </w:r>
    <w:r w:rsidR="00846C08" w:rsidRPr="002B29C3">
      <w:rPr>
        <w:rFonts w:ascii="Calibri" w:eastAsia="Calibri" w:hAnsi="Calibri" w:cs="Calibri"/>
        <w:b/>
        <w:bCs/>
        <w:kern w:val="36"/>
        <w:sz w:val="20"/>
        <w:szCs w:val="20"/>
        <w:lang w:val="es-ES" w:eastAsia="es-ES_tradnl"/>
      </w:rPr>
      <w:t xml:space="preserve"> del Olive Oil World Congress</w:t>
    </w:r>
    <w:r w:rsidRPr="002B29C3">
      <w:rPr>
        <w:rFonts w:ascii="Calibri" w:eastAsia="Calibri" w:hAnsi="Calibri" w:cs="Calibri"/>
        <w:bCs/>
        <w:kern w:val="36"/>
        <w:sz w:val="20"/>
        <w:szCs w:val="20"/>
        <w:lang w:val="es-ES" w:eastAsia="es-ES_tradnl"/>
      </w:rPr>
      <w:t xml:space="preserve"> · 917 217 929 · </w:t>
    </w:r>
    <w:hyperlink r:id="rId2" w:history="1">
      <w:r w:rsidRPr="002B29C3">
        <w:rPr>
          <w:rFonts w:ascii="Calibri" w:eastAsia="Calibri" w:hAnsi="Calibri" w:cs="Calibri"/>
          <w:b/>
          <w:bCs/>
          <w:color w:val="0000FF"/>
          <w:kern w:val="36"/>
          <w:sz w:val="20"/>
          <w:szCs w:val="20"/>
          <w:u w:val="single"/>
          <w:lang w:val="es-ES" w:eastAsia="es-ES_tradnl"/>
        </w:rPr>
        <w:t>info@oliveoilwc.com</w:t>
      </w:r>
    </w:hyperlink>
    <w:r w:rsidR="00E535A3">
      <w:t xml:space="preserve"> </w:t>
    </w:r>
    <w:hyperlink r:id="rId3" w:history="1">
      <w:r w:rsidR="00E535A3" w:rsidRPr="00812566">
        <w:rPr>
          <w:rStyle w:val="Hipervnculo"/>
          <w:sz w:val="20"/>
          <w:szCs w:val="20"/>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E9A1" w14:textId="77777777" w:rsidR="00270DF9" w:rsidRDefault="00270DF9" w:rsidP="00E83E50">
      <w:pPr>
        <w:spacing w:after="0" w:line="240" w:lineRule="auto"/>
      </w:pPr>
      <w:r>
        <w:separator/>
      </w:r>
    </w:p>
  </w:footnote>
  <w:footnote w:type="continuationSeparator" w:id="0">
    <w:p w14:paraId="52C897EF" w14:textId="77777777" w:rsidR="00270DF9" w:rsidRDefault="00270DF9"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C10BC"/>
    <w:multiLevelType w:val="hybridMultilevel"/>
    <w:tmpl w:val="392CA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E41E75"/>
    <w:multiLevelType w:val="hybridMultilevel"/>
    <w:tmpl w:val="4246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0B22EA"/>
    <w:multiLevelType w:val="hybridMultilevel"/>
    <w:tmpl w:val="EADEC82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38397D"/>
    <w:multiLevelType w:val="hybridMultilevel"/>
    <w:tmpl w:val="FF203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98439F"/>
    <w:multiLevelType w:val="hybridMultilevel"/>
    <w:tmpl w:val="D91497D4"/>
    <w:lvl w:ilvl="0" w:tplc="C0C01CA8">
      <w:start w:val="1"/>
      <w:numFmt w:val="bullet"/>
      <w:lvlText w:val="•"/>
      <w:lvlJc w:val="left"/>
      <w:pPr>
        <w:ind w:left="720" w:hanging="360"/>
      </w:pPr>
    </w:lvl>
    <w:lvl w:ilvl="1" w:tplc="A4062046">
      <w:numFmt w:val="decimal"/>
      <w:lvlText w:val=""/>
      <w:lvlJc w:val="left"/>
      <w:pPr>
        <w:ind w:left="0" w:firstLine="0"/>
      </w:pPr>
    </w:lvl>
    <w:lvl w:ilvl="2" w:tplc="A2B234C2">
      <w:numFmt w:val="decimal"/>
      <w:lvlText w:val=""/>
      <w:lvlJc w:val="left"/>
      <w:pPr>
        <w:ind w:left="0" w:firstLine="0"/>
      </w:pPr>
    </w:lvl>
    <w:lvl w:ilvl="3" w:tplc="4B7EA214">
      <w:numFmt w:val="decimal"/>
      <w:lvlText w:val=""/>
      <w:lvlJc w:val="left"/>
      <w:pPr>
        <w:ind w:left="0" w:firstLine="0"/>
      </w:pPr>
    </w:lvl>
    <w:lvl w:ilvl="4" w:tplc="54FE1660">
      <w:numFmt w:val="decimal"/>
      <w:lvlText w:val=""/>
      <w:lvlJc w:val="left"/>
      <w:pPr>
        <w:ind w:left="0" w:firstLine="0"/>
      </w:pPr>
    </w:lvl>
    <w:lvl w:ilvl="5" w:tplc="B082224A">
      <w:numFmt w:val="decimal"/>
      <w:lvlText w:val=""/>
      <w:lvlJc w:val="left"/>
      <w:pPr>
        <w:ind w:left="0" w:firstLine="0"/>
      </w:pPr>
    </w:lvl>
    <w:lvl w:ilvl="6" w:tplc="C65E75DE">
      <w:numFmt w:val="decimal"/>
      <w:lvlText w:val=""/>
      <w:lvlJc w:val="left"/>
      <w:pPr>
        <w:ind w:left="0" w:firstLine="0"/>
      </w:pPr>
    </w:lvl>
    <w:lvl w:ilvl="7" w:tplc="4484DAC2">
      <w:numFmt w:val="decimal"/>
      <w:lvlText w:val=""/>
      <w:lvlJc w:val="left"/>
      <w:pPr>
        <w:ind w:left="0" w:firstLine="0"/>
      </w:pPr>
    </w:lvl>
    <w:lvl w:ilvl="8" w:tplc="EFB248E0">
      <w:numFmt w:val="decimal"/>
      <w:lvlText w:val=""/>
      <w:lvlJc w:val="left"/>
      <w:pPr>
        <w:ind w:left="0" w:firstLine="0"/>
      </w:pPr>
    </w:lvl>
  </w:abstractNum>
  <w:abstractNum w:abstractNumId="9"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A57C09"/>
    <w:multiLevelType w:val="hybridMultilevel"/>
    <w:tmpl w:val="7CE26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124E67"/>
    <w:multiLevelType w:val="hybridMultilevel"/>
    <w:tmpl w:val="017A0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E6644B"/>
    <w:multiLevelType w:val="multilevel"/>
    <w:tmpl w:val="9A14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74961E9"/>
    <w:multiLevelType w:val="multilevel"/>
    <w:tmpl w:val="009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BE06C1"/>
    <w:multiLevelType w:val="hybridMultilevel"/>
    <w:tmpl w:val="0DAE4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3A4D82"/>
    <w:multiLevelType w:val="hybridMultilevel"/>
    <w:tmpl w:val="981AC906"/>
    <w:lvl w:ilvl="0" w:tplc="5F6C08D0">
      <w:start w:val="1"/>
      <w:numFmt w:val="bullet"/>
      <w:lvlText w:val="–"/>
      <w:lvlJc w:val="left"/>
      <w:pPr>
        <w:ind w:left="540" w:hanging="360"/>
      </w:pPr>
    </w:lvl>
    <w:lvl w:ilvl="1" w:tplc="91D04A4A">
      <w:numFmt w:val="decimal"/>
      <w:lvlText w:val=""/>
      <w:lvlJc w:val="left"/>
    </w:lvl>
    <w:lvl w:ilvl="2" w:tplc="81D0AE26">
      <w:numFmt w:val="decimal"/>
      <w:lvlText w:val=""/>
      <w:lvlJc w:val="left"/>
    </w:lvl>
    <w:lvl w:ilvl="3" w:tplc="7C147E10">
      <w:numFmt w:val="decimal"/>
      <w:lvlText w:val=""/>
      <w:lvlJc w:val="left"/>
    </w:lvl>
    <w:lvl w:ilvl="4" w:tplc="ACB2DF1A">
      <w:numFmt w:val="decimal"/>
      <w:lvlText w:val=""/>
      <w:lvlJc w:val="left"/>
    </w:lvl>
    <w:lvl w:ilvl="5" w:tplc="74C0461A">
      <w:numFmt w:val="decimal"/>
      <w:lvlText w:val=""/>
      <w:lvlJc w:val="left"/>
    </w:lvl>
    <w:lvl w:ilvl="6" w:tplc="AF861A0A">
      <w:numFmt w:val="decimal"/>
      <w:lvlText w:val=""/>
      <w:lvlJc w:val="left"/>
    </w:lvl>
    <w:lvl w:ilvl="7" w:tplc="4036C434">
      <w:numFmt w:val="decimal"/>
      <w:lvlText w:val=""/>
      <w:lvlJc w:val="left"/>
    </w:lvl>
    <w:lvl w:ilvl="8" w:tplc="B8D8E3E4">
      <w:numFmt w:val="decimal"/>
      <w:lvlText w:val=""/>
      <w:lvlJc w:val="left"/>
    </w:lvl>
  </w:abstractNum>
  <w:abstractNum w:abstractNumId="24"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787627">
    <w:abstractNumId w:val="0"/>
  </w:num>
  <w:num w:numId="2" w16cid:durableId="659621333">
    <w:abstractNumId w:val="2"/>
  </w:num>
  <w:num w:numId="3" w16cid:durableId="1969700709">
    <w:abstractNumId w:val="21"/>
  </w:num>
  <w:num w:numId="4" w16cid:durableId="1498884455">
    <w:abstractNumId w:val="10"/>
  </w:num>
  <w:num w:numId="5" w16cid:durableId="789010196">
    <w:abstractNumId w:val="11"/>
  </w:num>
  <w:num w:numId="6" w16cid:durableId="2048211719">
    <w:abstractNumId w:val="16"/>
  </w:num>
  <w:num w:numId="7" w16cid:durableId="17004389">
    <w:abstractNumId w:val="20"/>
  </w:num>
  <w:num w:numId="8" w16cid:durableId="1185048144">
    <w:abstractNumId w:val="19"/>
  </w:num>
  <w:num w:numId="9" w16cid:durableId="1701974279">
    <w:abstractNumId w:val="1"/>
  </w:num>
  <w:num w:numId="10" w16cid:durableId="675353104">
    <w:abstractNumId w:val="12"/>
  </w:num>
  <w:num w:numId="11" w16cid:durableId="333730092">
    <w:abstractNumId w:val="9"/>
  </w:num>
  <w:num w:numId="12" w16cid:durableId="1908763766">
    <w:abstractNumId w:val="17"/>
  </w:num>
  <w:num w:numId="13" w16cid:durableId="1348365966">
    <w:abstractNumId w:val="24"/>
  </w:num>
  <w:num w:numId="14" w16cid:durableId="683701599">
    <w:abstractNumId w:val="4"/>
  </w:num>
  <w:num w:numId="15" w16cid:durableId="1622497443">
    <w:abstractNumId w:val="25"/>
  </w:num>
  <w:num w:numId="16" w16cid:durableId="453209343">
    <w:abstractNumId w:val="7"/>
  </w:num>
  <w:num w:numId="17" w16cid:durableId="1589076762">
    <w:abstractNumId w:val="15"/>
  </w:num>
  <w:num w:numId="18" w16cid:durableId="77404732">
    <w:abstractNumId w:val="23"/>
    <w:lvlOverride w:ilvl="0">
      <w:startOverride w:val="1"/>
    </w:lvlOverride>
  </w:num>
  <w:num w:numId="19" w16cid:durableId="2068410316">
    <w:abstractNumId w:val="13"/>
  </w:num>
  <w:num w:numId="20" w16cid:durableId="689646623">
    <w:abstractNumId w:val="8"/>
  </w:num>
  <w:num w:numId="21" w16cid:durableId="229656014">
    <w:abstractNumId w:val="8"/>
  </w:num>
  <w:num w:numId="22" w16cid:durableId="16734369">
    <w:abstractNumId w:val="18"/>
  </w:num>
  <w:num w:numId="23" w16cid:durableId="156119945">
    <w:abstractNumId w:val="5"/>
  </w:num>
  <w:num w:numId="24" w16cid:durableId="1309362192">
    <w:abstractNumId w:val="3"/>
  </w:num>
  <w:num w:numId="25" w16cid:durableId="513224276">
    <w:abstractNumId w:val="14"/>
  </w:num>
  <w:num w:numId="26" w16cid:durableId="1527210035">
    <w:abstractNumId w:val="22"/>
  </w:num>
  <w:num w:numId="27" w16cid:durableId="49954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0BAD"/>
    <w:rsid w:val="00005EB0"/>
    <w:rsid w:val="00006A78"/>
    <w:rsid w:val="000132DE"/>
    <w:rsid w:val="00013B8C"/>
    <w:rsid w:val="00014AFE"/>
    <w:rsid w:val="00015C53"/>
    <w:rsid w:val="0002057D"/>
    <w:rsid w:val="0002287D"/>
    <w:rsid w:val="00031325"/>
    <w:rsid w:val="0003212E"/>
    <w:rsid w:val="00041056"/>
    <w:rsid w:val="0004236C"/>
    <w:rsid w:val="00042380"/>
    <w:rsid w:val="000441A9"/>
    <w:rsid w:val="00051A4C"/>
    <w:rsid w:val="000529D1"/>
    <w:rsid w:val="00052BD8"/>
    <w:rsid w:val="00053227"/>
    <w:rsid w:val="000534F5"/>
    <w:rsid w:val="0006277D"/>
    <w:rsid w:val="00065D16"/>
    <w:rsid w:val="00067262"/>
    <w:rsid w:val="00070321"/>
    <w:rsid w:val="0007450C"/>
    <w:rsid w:val="00075058"/>
    <w:rsid w:val="00075CB9"/>
    <w:rsid w:val="000761AD"/>
    <w:rsid w:val="000774C6"/>
    <w:rsid w:val="0008062E"/>
    <w:rsid w:val="00082A96"/>
    <w:rsid w:val="0008404D"/>
    <w:rsid w:val="000871F5"/>
    <w:rsid w:val="000900C2"/>
    <w:rsid w:val="00090C56"/>
    <w:rsid w:val="00091EF8"/>
    <w:rsid w:val="00093D24"/>
    <w:rsid w:val="000943DF"/>
    <w:rsid w:val="00094D3B"/>
    <w:rsid w:val="000A1A75"/>
    <w:rsid w:val="000A1B49"/>
    <w:rsid w:val="000A42CC"/>
    <w:rsid w:val="000B071B"/>
    <w:rsid w:val="000B3546"/>
    <w:rsid w:val="000B36D6"/>
    <w:rsid w:val="000B4B9A"/>
    <w:rsid w:val="000B6521"/>
    <w:rsid w:val="000C0D5A"/>
    <w:rsid w:val="000C42D3"/>
    <w:rsid w:val="000C53C6"/>
    <w:rsid w:val="000D0FA0"/>
    <w:rsid w:val="000E3BE4"/>
    <w:rsid w:val="000E41CC"/>
    <w:rsid w:val="000E7AFE"/>
    <w:rsid w:val="000F09C1"/>
    <w:rsid w:val="000F3436"/>
    <w:rsid w:val="000F4826"/>
    <w:rsid w:val="000F57EC"/>
    <w:rsid w:val="00100A72"/>
    <w:rsid w:val="00102B40"/>
    <w:rsid w:val="001039E3"/>
    <w:rsid w:val="00116E6A"/>
    <w:rsid w:val="00117186"/>
    <w:rsid w:val="0012136E"/>
    <w:rsid w:val="001259C4"/>
    <w:rsid w:val="00127A74"/>
    <w:rsid w:val="00131EF2"/>
    <w:rsid w:val="00132F86"/>
    <w:rsid w:val="00147A26"/>
    <w:rsid w:val="00161330"/>
    <w:rsid w:val="00161DB7"/>
    <w:rsid w:val="0016297D"/>
    <w:rsid w:val="001642AB"/>
    <w:rsid w:val="001679A1"/>
    <w:rsid w:val="001730F9"/>
    <w:rsid w:val="00177403"/>
    <w:rsid w:val="00183454"/>
    <w:rsid w:val="0019401B"/>
    <w:rsid w:val="00196730"/>
    <w:rsid w:val="001A0B0B"/>
    <w:rsid w:val="001B0B6C"/>
    <w:rsid w:val="001B1596"/>
    <w:rsid w:val="001B1B4B"/>
    <w:rsid w:val="001B3265"/>
    <w:rsid w:val="001B33CD"/>
    <w:rsid w:val="001D6000"/>
    <w:rsid w:val="001D7236"/>
    <w:rsid w:val="001D783B"/>
    <w:rsid w:val="001D7C94"/>
    <w:rsid w:val="001E2C05"/>
    <w:rsid w:val="001E5941"/>
    <w:rsid w:val="001E744E"/>
    <w:rsid w:val="001F07C9"/>
    <w:rsid w:val="001F46B5"/>
    <w:rsid w:val="001F5128"/>
    <w:rsid w:val="00204504"/>
    <w:rsid w:val="00205295"/>
    <w:rsid w:val="00205D92"/>
    <w:rsid w:val="00207889"/>
    <w:rsid w:val="00210FF9"/>
    <w:rsid w:val="002125B4"/>
    <w:rsid w:val="00212BA6"/>
    <w:rsid w:val="002132C7"/>
    <w:rsid w:val="00223FEF"/>
    <w:rsid w:val="00226D13"/>
    <w:rsid w:val="00227A25"/>
    <w:rsid w:val="00236CFD"/>
    <w:rsid w:val="002371BB"/>
    <w:rsid w:val="00237D0F"/>
    <w:rsid w:val="002435E0"/>
    <w:rsid w:val="002442D0"/>
    <w:rsid w:val="00244631"/>
    <w:rsid w:val="0025154F"/>
    <w:rsid w:val="002519EF"/>
    <w:rsid w:val="00252B17"/>
    <w:rsid w:val="00256411"/>
    <w:rsid w:val="002671C3"/>
    <w:rsid w:val="0026779E"/>
    <w:rsid w:val="00270DF9"/>
    <w:rsid w:val="00271D80"/>
    <w:rsid w:val="00273638"/>
    <w:rsid w:val="002737F7"/>
    <w:rsid w:val="002743A6"/>
    <w:rsid w:val="00274C6B"/>
    <w:rsid w:val="00275C63"/>
    <w:rsid w:val="002779EA"/>
    <w:rsid w:val="00280EC9"/>
    <w:rsid w:val="00283D1F"/>
    <w:rsid w:val="00284AE7"/>
    <w:rsid w:val="00286536"/>
    <w:rsid w:val="002871CA"/>
    <w:rsid w:val="00287D4E"/>
    <w:rsid w:val="00290877"/>
    <w:rsid w:val="00291EC9"/>
    <w:rsid w:val="002929CC"/>
    <w:rsid w:val="00295AE6"/>
    <w:rsid w:val="002A262E"/>
    <w:rsid w:val="002A3B90"/>
    <w:rsid w:val="002A4A0F"/>
    <w:rsid w:val="002B1B7B"/>
    <w:rsid w:val="002B29C3"/>
    <w:rsid w:val="002C48D2"/>
    <w:rsid w:val="002D0649"/>
    <w:rsid w:val="002D6E39"/>
    <w:rsid w:val="002D70D6"/>
    <w:rsid w:val="002E20E5"/>
    <w:rsid w:val="002E324F"/>
    <w:rsid w:val="002E5B72"/>
    <w:rsid w:val="002E5D25"/>
    <w:rsid w:val="002E632C"/>
    <w:rsid w:val="002E6828"/>
    <w:rsid w:val="002F0ADC"/>
    <w:rsid w:val="002F3706"/>
    <w:rsid w:val="002F5898"/>
    <w:rsid w:val="002F7EE3"/>
    <w:rsid w:val="003005E9"/>
    <w:rsid w:val="003008D2"/>
    <w:rsid w:val="00305E84"/>
    <w:rsid w:val="003064DE"/>
    <w:rsid w:val="0030750C"/>
    <w:rsid w:val="00313A2B"/>
    <w:rsid w:val="00315CC5"/>
    <w:rsid w:val="00316E04"/>
    <w:rsid w:val="003172B0"/>
    <w:rsid w:val="003202A5"/>
    <w:rsid w:val="003215B7"/>
    <w:rsid w:val="00333DDF"/>
    <w:rsid w:val="003434A0"/>
    <w:rsid w:val="00344F43"/>
    <w:rsid w:val="00345950"/>
    <w:rsid w:val="00345BB3"/>
    <w:rsid w:val="00350FC1"/>
    <w:rsid w:val="003540CA"/>
    <w:rsid w:val="00354AB2"/>
    <w:rsid w:val="00356803"/>
    <w:rsid w:val="0035775C"/>
    <w:rsid w:val="00363EF3"/>
    <w:rsid w:val="00364427"/>
    <w:rsid w:val="00370E47"/>
    <w:rsid w:val="003735A8"/>
    <w:rsid w:val="00377E46"/>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E0A54"/>
    <w:rsid w:val="003E4234"/>
    <w:rsid w:val="003F25EE"/>
    <w:rsid w:val="003F443E"/>
    <w:rsid w:val="003F59A0"/>
    <w:rsid w:val="003F704A"/>
    <w:rsid w:val="004049A9"/>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314D"/>
    <w:rsid w:val="004568B3"/>
    <w:rsid w:val="00462EA9"/>
    <w:rsid w:val="00463065"/>
    <w:rsid w:val="00467D38"/>
    <w:rsid w:val="00471102"/>
    <w:rsid w:val="00472F9C"/>
    <w:rsid w:val="00482EA6"/>
    <w:rsid w:val="00483975"/>
    <w:rsid w:val="00484AF3"/>
    <w:rsid w:val="0048760E"/>
    <w:rsid w:val="00491164"/>
    <w:rsid w:val="004914EC"/>
    <w:rsid w:val="004931D0"/>
    <w:rsid w:val="0049355F"/>
    <w:rsid w:val="00496756"/>
    <w:rsid w:val="004A07FF"/>
    <w:rsid w:val="004A1E96"/>
    <w:rsid w:val="004A21F4"/>
    <w:rsid w:val="004A4821"/>
    <w:rsid w:val="004A5664"/>
    <w:rsid w:val="004A6319"/>
    <w:rsid w:val="004B2B82"/>
    <w:rsid w:val="004B2C57"/>
    <w:rsid w:val="004B314C"/>
    <w:rsid w:val="004B31BF"/>
    <w:rsid w:val="004B7854"/>
    <w:rsid w:val="004C2BDE"/>
    <w:rsid w:val="004D2EAA"/>
    <w:rsid w:val="004D5B22"/>
    <w:rsid w:val="004E198B"/>
    <w:rsid w:val="004E2AA9"/>
    <w:rsid w:val="004E4A2E"/>
    <w:rsid w:val="00501F4A"/>
    <w:rsid w:val="00502139"/>
    <w:rsid w:val="0050462B"/>
    <w:rsid w:val="00504C18"/>
    <w:rsid w:val="005057B4"/>
    <w:rsid w:val="005067A1"/>
    <w:rsid w:val="00510EDC"/>
    <w:rsid w:val="00511EB3"/>
    <w:rsid w:val="0051216C"/>
    <w:rsid w:val="00512F04"/>
    <w:rsid w:val="005149A6"/>
    <w:rsid w:val="00514CD1"/>
    <w:rsid w:val="00516074"/>
    <w:rsid w:val="00517286"/>
    <w:rsid w:val="005223EC"/>
    <w:rsid w:val="005312D1"/>
    <w:rsid w:val="00532670"/>
    <w:rsid w:val="00533C55"/>
    <w:rsid w:val="00537138"/>
    <w:rsid w:val="005401EA"/>
    <w:rsid w:val="00542BAB"/>
    <w:rsid w:val="005452A8"/>
    <w:rsid w:val="00551B2A"/>
    <w:rsid w:val="00554271"/>
    <w:rsid w:val="00555DA3"/>
    <w:rsid w:val="005651D7"/>
    <w:rsid w:val="005663AE"/>
    <w:rsid w:val="005707CC"/>
    <w:rsid w:val="0057346A"/>
    <w:rsid w:val="00574499"/>
    <w:rsid w:val="00574FC7"/>
    <w:rsid w:val="005824C2"/>
    <w:rsid w:val="00591AE9"/>
    <w:rsid w:val="00594212"/>
    <w:rsid w:val="005A3A9E"/>
    <w:rsid w:val="005A59B5"/>
    <w:rsid w:val="005A70A0"/>
    <w:rsid w:val="005C094B"/>
    <w:rsid w:val="005C1F82"/>
    <w:rsid w:val="005C2A1D"/>
    <w:rsid w:val="005C3CAF"/>
    <w:rsid w:val="005C71D1"/>
    <w:rsid w:val="005C76DD"/>
    <w:rsid w:val="005D73B9"/>
    <w:rsid w:val="005E17FC"/>
    <w:rsid w:val="005E5C63"/>
    <w:rsid w:val="005F0CC2"/>
    <w:rsid w:val="005F1564"/>
    <w:rsid w:val="005F75AD"/>
    <w:rsid w:val="00603D3A"/>
    <w:rsid w:val="00606125"/>
    <w:rsid w:val="0060638E"/>
    <w:rsid w:val="006078C8"/>
    <w:rsid w:val="00607930"/>
    <w:rsid w:val="00607FDC"/>
    <w:rsid w:val="0062037B"/>
    <w:rsid w:val="00620542"/>
    <w:rsid w:val="00620567"/>
    <w:rsid w:val="00630F01"/>
    <w:rsid w:val="006329F0"/>
    <w:rsid w:val="0063346A"/>
    <w:rsid w:val="0064253C"/>
    <w:rsid w:val="00643538"/>
    <w:rsid w:val="00644BCE"/>
    <w:rsid w:val="0064674C"/>
    <w:rsid w:val="006479E5"/>
    <w:rsid w:val="00647B3D"/>
    <w:rsid w:val="00651CC6"/>
    <w:rsid w:val="006531E2"/>
    <w:rsid w:val="00654018"/>
    <w:rsid w:val="00660EFE"/>
    <w:rsid w:val="0066163A"/>
    <w:rsid w:val="00663414"/>
    <w:rsid w:val="006735C1"/>
    <w:rsid w:val="00674675"/>
    <w:rsid w:val="00674EED"/>
    <w:rsid w:val="0067511F"/>
    <w:rsid w:val="006751D5"/>
    <w:rsid w:val="006756A8"/>
    <w:rsid w:val="00675A50"/>
    <w:rsid w:val="00682DD4"/>
    <w:rsid w:val="00683315"/>
    <w:rsid w:val="006844FB"/>
    <w:rsid w:val="00687654"/>
    <w:rsid w:val="006931BD"/>
    <w:rsid w:val="0069392A"/>
    <w:rsid w:val="00693F02"/>
    <w:rsid w:val="006957E2"/>
    <w:rsid w:val="00695914"/>
    <w:rsid w:val="006A0EEE"/>
    <w:rsid w:val="006A2274"/>
    <w:rsid w:val="006A2A31"/>
    <w:rsid w:val="006A7C6C"/>
    <w:rsid w:val="006B1AA6"/>
    <w:rsid w:val="006B33B3"/>
    <w:rsid w:val="006C2B9C"/>
    <w:rsid w:val="006C4211"/>
    <w:rsid w:val="006C563D"/>
    <w:rsid w:val="006D022D"/>
    <w:rsid w:val="006D54C3"/>
    <w:rsid w:val="006D58F1"/>
    <w:rsid w:val="006E3BF7"/>
    <w:rsid w:val="006E6EC3"/>
    <w:rsid w:val="006F28FC"/>
    <w:rsid w:val="006F6175"/>
    <w:rsid w:val="00701ABA"/>
    <w:rsid w:val="00701C32"/>
    <w:rsid w:val="00702987"/>
    <w:rsid w:val="00702B18"/>
    <w:rsid w:val="0070501E"/>
    <w:rsid w:val="00715978"/>
    <w:rsid w:val="0071737F"/>
    <w:rsid w:val="0072123A"/>
    <w:rsid w:val="00724669"/>
    <w:rsid w:val="00732634"/>
    <w:rsid w:val="00734AE0"/>
    <w:rsid w:val="00736951"/>
    <w:rsid w:val="00736E79"/>
    <w:rsid w:val="00736F81"/>
    <w:rsid w:val="00740509"/>
    <w:rsid w:val="007474C6"/>
    <w:rsid w:val="00752F2A"/>
    <w:rsid w:val="00761226"/>
    <w:rsid w:val="007618BE"/>
    <w:rsid w:val="0076579C"/>
    <w:rsid w:val="0076621A"/>
    <w:rsid w:val="00767194"/>
    <w:rsid w:val="00775ADD"/>
    <w:rsid w:val="00775F73"/>
    <w:rsid w:val="0077675C"/>
    <w:rsid w:val="00777B7E"/>
    <w:rsid w:val="00781D14"/>
    <w:rsid w:val="007826CC"/>
    <w:rsid w:val="00783FE9"/>
    <w:rsid w:val="00787BD1"/>
    <w:rsid w:val="00791465"/>
    <w:rsid w:val="00793036"/>
    <w:rsid w:val="007A602C"/>
    <w:rsid w:val="007A7469"/>
    <w:rsid w:val="007B254D"/>
    <w:rsid w:val="007B2969"/>
    <w:rsid w:val="007B3630"/>
    <w:rsid w:val="007C07E7"/>
    <w:rsid w:val="007C1AD5"/>
    <w:rsid w:val="007C2223"/>
    <w:rsid w:val="007D1095"/>
    <w:rsid w:val="007E125A"/>
    <w:rsid w:val="007E41C2"/>
    <w:rsid w:val="007E4942"/>
    <w:rsid w:val="007F2268"/>
    <w:rsid w:val="007F422E"/>
    <w:rsid w:val="007F5A6D"/>
    <w:rsid w:val="007F5C65"/>
    <w:rsid w:val="007F74AD"/>
    <w:rsid w:val="0080310A"/>
    <w:rsid w:val="00804C7B"/>
    <w:rsid w:val="00812019"/>
    <w:rsid w:val="00813079"/>
    <w:rsid w:val="008142BE"/>
    <w:rsid w:val="008222B4"/>
    <w:rsid w:val="00822694"/>
    <w:rsid w:val="00822B06"/>
    <w:rsid w:val="00822F4D"/>
    <w:rsid w:val="00827249"/>
    <w:rsid w:val="00830A61"/>
    <w:rsid w:val="0083209C"/>
    <w:rsid w:val="00832910"/>
    <w:rsid w:val="00832B76"/>
    <w:rsid w:val="00834F0E"/>
    <w:rsid w:val="00842793"/>
    <w:rsid w:val="00843F87"/>
    <w:rsid w:val="00846C08"/>
    <w:rsid w:val="008505D4"/>
    <w:rsid w:val="00850DF6"/>
    <w:rsid w:val="00850E41"/>
    <w:rsid w:val="008530D8"/>
    <w:rsid w:val="0085718D"/>
    <w:rsid w:val="00860955"/>
    <w:rsid w:val="00871E40"/>
    <w:rsid w:val="00874782"/>
    <w:rsid w:val="00876251"/>
    <w:rsid w:val="0087784B"/>
    <w:rsid w:val="0088145A"/>
    <w:rsid w:val="00881BEF"/>
    <w:rsid w:val="008850EC"/>
    <w:rsid w:val="008904EA"/>
    <w:rsid w:val="00892F2C"/>
    <w:rsid w:val="0089347D"/>
    <w:rsid w:val="008965A4"/>
    <w:rsid w:val="00897354"/>
    <w:rsid w:val="008A1561"/>
    <w:rsid w:val="008A435D"/>
    <w:rsid w:val="008A539A"/>
    <w:rsid w:val="008A6905"/>
    <w:rsid w:val="008B6695"/>
    <w:rsid w:val="008B74D2"/>
    <w:rsid w:val="008C0BE7"/>
    <w:rsid w:val="008D1F66"/>
    <w:rsid w:val="008D791F"/>
    <w:rsid w:val="008F004E"/>
    <w:rsid w:val="008F17C1"/>
    <w:rsid w:val="008F23D4"/>
    <w:rsid w:val="008F2D22"/>
    <w:rsid w:val="008F3A2B"/>
    <w:rsid w:val="008F3C26"/>
    <w:rsid w:val="008F5F79"/>
    <w:rsid w:val="008F62FF"/>
    <w:rsid w:val="008F67B5"/>
    <w:rsid w:val="009000B6"/>
    <w:rsid w:val="0090388E"/>
    <w:rsid w:val="00903C30"/>
    <w:rsid w:val="009140BC"/>
    <w:rsid w:val="00916165"/>
    <w:rsid w:val="0091624B"/>
    <w:rsid w:val="00921D52"/>
    <w:rsid w:val="00922757"/>
    <w:rsid w:val="00931BBB"/>
    <w:rsid w:val="0093428E"/>
    <w:rsid w:val="00935D02"/>
    <w:rsid w:val="00937F2E"/>
    <w:rsid w:val="00943545"/>
    <w:rsid w:val="00943E26"/>
    <w:rsid w:val="00950101"/>
    <w:rsid w:val="009509E2"/>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6248"/>
    <w:rsid w:val="009A40ED"/>
    <w:rsid w:val="009A65D2"/>
    <w:rsid w:val="009A6E6B"/>
    <w:rsid w:val="009B0354"/>
    <w:rsid w:val="009B2218"/>
    <w:rsid w:val="009B227F"/>
    <w:rsid w:val="009B2422"/>
    <w:rsid w:val="009B4BD9"/>
    <w:rsid w:val="009C762A"/>
    <w:rsid w:val="009D0A3C"/>
    <w:rsid w:val="009D283F"/>
    <w:rsid w:val="009E526E"/>
    <w:rsid w:val="009E7951"/>
    <w:rsid w:val="009F2706"/>
    <w:rsid w:val="009F5705"/>
    <w:rsid w:val="00A017BB"/>
    <w:rsid w:val="00A017D2"/>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01F"/>
    <w:rsid w:val="00A54A14"/>
    <w:rsid w:val="00A56F1B"/>
    <w:rsid w:val="00A62ADA"/>
    <w:rsid w:val="00A665EE"/>
    <w:rsid w:val="00A709B7"/>
    <w:rsid w:val="00A7145D"/>
    <w:rsid w:val="00A75399"/>
    <w:rsid w:val="00A75CB8"/>
    <w:rsid w:val="00A808E6"/>
    <w:rsid w:val="00A80DCD"/>
    <w:rsid w:val="00A83F6D"/>
    <w:rsid w:val="00A906A4"/>
    <w:rsid w:val="00A93091"/>
    <w:rsid w:val="00A95C18"/>
    <w:rsid w:val="00AA2099"/>
    <w:rsid w:val="00AA2188"/>
    <w:rsid w:val="00AA4152"/>
    <w:rsid w:val="00AB2070"/>
    <w:rsid w:val="00AB2236"/>
    <w:rsid w:val="00AC0E8F"/>
    <w:rsid w:val="00AC2C2F"/>
    <w:rsid w:val="00AC33D4"/>
    <w:rsid w:val="00AC4BBE"/>
    <w:rsid w:val="00AC7E05"/>
    <w:rsid w:val="00AD0E0A"/>
    <w:rsid w:val="00AD1653"/>
    <w:rsid w:val="00AD4D15"/>
    <w:rsid w:val="00AD5627"/>
    <w:rsid w:val="00AD6C1D"/>
    <w:rsid w:val="00AD7765"/>
    <w:rsid w:val="00AE1664"/>
    <w:rsid w:val="00AE1679"/>
    <w:rsid w:val="00AF2B0A"/>
    <w:rsid w:val="00AF6182"/>
    <w:rsid w:val="00AF65A1"/>
    <w:rsid w:val="00B0198C"/>
    <w:rsid w:val="00B102A6"/>
    <w:rsid w:val="00B11FAE"/>
    <w:rsid w:val="00B1563F"/>
    <w:rsid w:val="00B21E14"/>
    <w:rsid w:val="00B24D33"/>
    <w:rsid w:val="00B261DC"/>
    <w:rsid w:val="00B27B53"/>
    <w:rsid w:val="00B27CA7"/>
    <w:rsid w:val="00B3764F"/>
    <w:rsid w:val="00B424A0"/>
    <w:rsid w:val="00B42A88"/>
    <w:rsid w:val="00B47747"/>
    <w:rsid w:val="00B5052E"/>
    <w:rsid w:val="00B512F3"/>
    <w:rsid w:val="00B5182E"/>
    <w:rsid w:val="00B52847"/>
    <w:rsid w:val="00B557F0"/>
    <w:rsid w:val="00B562E8"/>
    <w:rsid w:val="00B569A0"/>
    <w:rsid w:val="00B62146"/>
    <w:rsid w:val="00B650C4"/>
    <w:rsid w:val="00B65BA1"/>
    <w:rsid w:val="00B70562"/>
    <w:rsid w:val="00B70A84"/>
    <w:rsid w:val="00B75742"/>
    <w:rsid w:val="00B80016"/>
    <w:rsid w:val="00B801D7"/>
    <w:rsid w:val="00B81B78"/>
    <w:rsid w:val="00B8427E"/>
    <w:rsid w:val="00B864C0"/>
    <w:rsid w:val="00B875EC"/>
    <w:rsid w:val="00B93FE3"/>
    <w:rsid w:val="00B949AC"/>
    <w:rsid w:val="00B94ABC"/>
    <w:rsid w:val="00BA0BAC"/>
    <w:rsid w:val="00BA280E"/>
    <w:rsid w:val="00BA35CF"/>
    <w:rsid w:val="00BA70C3"/>
    <w:rsid w:val="00BB0728"/>
    <w:rsid w:val="00BB653D"/>
    <w:rsid w:val="00BB6D99"/>
    <w:rsid w:val="00BC0144"/>
    <w:rsid w:val="00BC0651"/>
    <w:rsid w:val="00BC1945"/>
    <w:rsid w:val="00BD2938"/>
    <w:rsid w:val="00BD628F"/>
    <w:rsid w:val="00BD677F"/>
    <w:rsid w:val="00BD79A2"/>
    <w:rsid w:val="00BE27E4"/>
    <w:rsid w:val="00BF4C0F"/>
    <w:rsid w:val="00BF5A37"/>
    <w:rsid w:val="00BF753B"/>
    <w:rsid w:val="00C0218C"/>
    <w:rsid w:val="00C0430B"/>
    <w:rsid w:val="00C0456D"/>
    <w:rsid w:val="00C073CF"/>
    <w:rsid w:val="00C25C5F"/>
    <w:rsid w:val="00C34A14"/>
    <w:rsid w:val="00C46C6F"/>
    <w:rsid w:val="00C46C7F"/>
    <w:rsid w:val="00C5177A"/>
    <w:rsid w:val="00C52866"/>
    <w:rsid w:val="00C571A4"/>
    <w:rsid w:val="00C644B3"/>
    <w:rsid w:val="00C67842"/>
    <w:rsid w:val="00C67BA2"/>
    <w:rsid w:val="00C67F83"/>
    <w:rsid w:val="00C74BF2"/>
    <w:rsid w:val="00C77277"/>
    <w:rsid w:val="00C82F75"/>
    <w:rsid w:val="00C84538"/>
    <w:rsid w:val="00C865F3"/>
    <w:rsid w:val="00C8727B"/>
    <w:rsid w:val="00C907F0"/>
    <w:rsid w:val="00C93297"/>
    <w:rsid w:val="00C97D06"/>
    <w:rsid w:val="00CA1C1E"/>
    <w:rsid w:val="00CA1E04"/>
    <w:rsid w:val="00CA474B"/>
    <w:rsid w:val="00CA5B86"/>
    <w:rsid w:val="00CB2A4B"/>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72FD"/>
    <w:rsid w:val="00D01D48"/>
    <w:rsid w:val="00D0738A"/>
    <w:rsid w:val="00D140E4"/>
    <w:rsid w:val="00D140FF"/>
    <w:rsid w:val="00D211A6"/>
    <w:rsid w:val="00D268F4"/>
    <w:rsid w:val="00D27121"/>
    <w:rsid w:val="00D35796"/>
    <w:rsid w:val="00D37F92"/>
    <w:rsid w:val="00D434E5"/>
    <w:rsid w:val="00D47F92"/>
    <w:rsid w:val="00D52D8D"/>
    <w:rsid w:val="00D5497B"/>
    <w:rsid w:val="00D563A3"/>
    <w:rsid w:val="00D5683D"/>
    <w:rsid w:val="00D60F5F"/>
    <w:rsid w:val="00D636D3"/>
    <w:rsid w:val="00D66958"/>
    <w:rsid w:val="00D7254C"/>
    <w:rsid w:val="00D73675"/>
    <w:rsid w:val="00D8242E"/>
    <w:rsid w:val="00D82783"/>
    <w:rsid w:val="00D83956"/>
    <w:rsid w:val="00D86CDB"/>
    <w:rsid w:val="00D87A19"/>
    <w:rsid w:val="00D90A7D"/>
    <w:rsid w:val="00D92DB2"/>
    <w:rsid w:val="00D94727"/>
    <w:rsid w:val="00D977BD"/>
    <w:rsid w:val="00DA0052"/>
    <w:rsid w:val="00DA5FE9"/>
    <w:rsid w:val="00DB2422"/>
    <w:rsid w:val="00DB78B2"/>
    <w:rsid w:val="00DC44DA"/>
    <w:rsid w:val="00DD5524"/>
    <w:rsid w:val="00DD59C3"/>
    <w:rsid w:val="00DE3126"/>
    <w:rsid w:val="00DF79DF"/>
    <w:rsid w:val="00E04E41"/>
    <w:rsid w:val="00E055A5"/>
    <w:rsid w:val="00E05D54"/>
    <w:rsid w:val="00E06B24"/>
    <w:rsid w:val="00E1158D"/>
    <w:rsid w:val="00E31B55"/>
    <w:rsid w:val="00E3221D"/>
    <w:rsid w:val="00E32EFC"/>
    <w:rsid w:val="00E44A17"/>
    <w:rsid w:val="00E4529C"/>
    <w:rsid w:val="00E504A9"/>
    <w:rsid w:val="00E535A3"/>
    <w:rsid w:val="00E62238"/>
    <w:rsid w:val="00E626F7"/>
    <w:rsid w:val="00E642B6"/>
    <w:rsid w:val="00E71271"/>
    <w:rsid w:val="00E74A4D"/>
    <w:rsid w:val="00E75156"/>
    <w:rsid w:val="00E7684C"/>
    <w:rsid w:val="00E77F7A"/>
    <w:rsid w:val="00E82758"/>
    <w:rsid w:val="00E83E50"/>
    <w:rsid w:val="00E862FF"/>
    <w:rsid w:val="00E871BC"/>
    <w:rsid w:val="00E9310C"/>
    <w:rsid w:val="00E937AF"/>
    <w:rsid w:val="00E97CF1"/>
    <w:rsid w:val="00EA3526"/>
    <w:rsid w:val="00EA7213"/>
    <w:rsid w:val="00EB53BA"/>
    <w:rsid w:val="00EB6CA9"/>
    <w:rsid w:val="00EC0289"/>
    <w:rsid w:val="00EC5D6B"/>
    <w:rsid w:val="00EC6660"/>
    <w:rsid w:val="00ED1B60"/>
    <w:rsid w:val="00ED2935"/>
    <w:rsid w:val="00EE02F4"/>
    <w:rsid w:val="00EE18B2"/>
    <w:rsid w:val="00EE23C3"/>
    <w:rsid w:val="00EE62BF"/>
    <w:rsid w:val="00EF0C4D"/>
    <w:rsid w:val="00EF182A"/>
    <w:rsid w:val="00EF1B3A"/>
    <w:rsid w:val="00EF3915"/>
    <w:rsid w:val="00F044F8"/>
    <w:rsid w:val="00F06782"/>
    <w:rsid w:val="00F0736C"/>
    <w:rsid w:val="00F07929"/>
    <w:rsid w:val="00F123C5"/>
    <w:rsid w:val="00F1464B"/>
    <w:rsid w:val="00F226CA"/>
    <w:rsid w:val="00F27A88"/>
    <w:rsid w:val="00F27E81"/>
    <w:rsid w:val="00F30175"/>
    <w:rsid w:val="00F33B82"/>
    <w:rsid w:val="00F34B05"/>
    <w:rsid w:val="00F36DB3"/>
    <w:rsid w:val="00F37A17"/>
    <w:rsid w:val="00F44D48"/>
    <w:rsid w:val="00F529C0"/>
    <w:rsid w:val="00F546CC"/>
    <w:rsid w:val="00F564E5"/>
    <w:rsid w:val="00F609E1"/>
    <w:rsid w:val="00F6115D"/>
    <w:rsid w:val="00F6156C"/>
    <w:rsid w:val="00F63EB0"/>
    <w:rsid w:val="00F65410"/>
    <w:rsid w:val="00F73427"/>
    <w:rsid w:val="00F75DC4"/>
    <w:rsid w:val="00F7655D"/>
    <w:rsid w:val="00F82981"/>
    <w:rsid w:val="00F9083E"/>
    <w:rsid w:val="00F927B3"/>
    <w:rsid w:val="00F92E88"/>
    <w:rsid w:val="00F9621A"/>
    <w:rsid w:val="00F96CBE"/>
    <w:rsid w:val="00FA588B"/>
    <w:rsid w:val="00FA636F"/>
    <w:rsid w:val="00FA7A35"/>
    <w:rsid w:val="00FB3693"/>
    <w:rsid w:val="00FC02D3"/>
    <w:rsid w:val="00FC117E"/>
    <w:rsid w:val="00FC1553"/>
    <w:rsid w:val="00FC2E44"/>
    <w:rsid w:val="00FC7D71"/>
    <w:rsid w:val="00FD4C9B"/>
    <w:rsid w:val="00FE05AB"/>
    <w:rsid w:val="00FE0609"/>
    <w:rsid w:val="00FE253E"/>
    <w:rsid w:val="00FE594D"/>
    <w:rsid w:val="00FF157A"/>
    <w:rsid w:val="00FF1CB5"/>
    <w:rsid w:val="00FF2D3E"/>
    <w:rsid w:val="00FF46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claude-response-body">
    <w:name w:val="font-claude-response-body"/>
    <w:basedOn w:val="Normal"/>
    <w:rsid w:val="00B801D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dq2pgselectionanchorcontainer">
    <w:name w:val="pdq2pg_selectionanchorcontainer"/>
    <w:basedOn w:val="Normal"/>
    <w:rsid w:val="00B5052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iveoilworldcongress.com" TargetMode="External"/><Relationship Id="rId3" Type="http://schemas.openxmlformats.org/officeDocument/2006/relationships/settings" Target="settings.xml"/><Relationship Id="rId7" Type="http://schemas.openxmlformats.org/officeDocument/2006/relationships/hyperlink" Target="https://www.oliveoilworldcongress.com/conclusiones-oowc-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1170</Words>
  <Characters>6439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2026-07-16T07:43:00Z</dcterms:created>
  <dcterms:modified xsi:type="dcterms:W3CDTF">2026-07-16T07:43:00Z</dcterms:modified>
</cp:coreProperties>
</file>