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82659" w14:textId="799370F9" w:rsidR="00830A61" w:rsidRPr="008C0BE7" w:rsidRDefault="00BD628F" w:rsidP="00FF2D3E">
      <w:pPr>
        <w:spacing w:after="120" w:line="240" w:lineRule="auto"/>
        <w:jc w:val="center"/>
        <w:rPr>
          <w:rFonts w:eastAsia="Arial" w:cstheme="minorHAnsi"/>
          <w:b/>
          <w:bCs/>
          <w:sz w:val="44"/>
          <w:szCs w:val="44"/>
          <w:lang w:eastAsia="es-ES"/>
        </w:rPr>
      </w:pPr>
      <w:r>
        <w:rPr>
          <w:rFonts w:eastAsia="Arial" w:cstheme="minorHAnsi"/>
          <w:b/>
          <w:bCs/>
          <w:sz w:val="44"/>
          <w:szCs w:val="44"/>
          <w:lang w:eastAsia="es-ES"/>
        </w:rPr>
        <w:t xml:space="preserve">Lisboa, capital mundial del aceite de oliva: cuatro ministros, </w:t>
      </w:r>
      <w:r w:rsidR="008965A4">
        <w:rPr>
          <w:rFonts w:eastAsia="Arial" w:cstheme="minorHAnsi"/>
          <w:b/>
          <w:bCs/>
          <w:sz w:val="44"/>
          <w:szCs w:val="44"/>
          <w:lang w:eastAsia="es-ES"/>
        </w:rPr>
        <w:t>IA</w:t>
      </w:r>
      <w:r>
        <w:rPr>
          <w:rFonts w:eastAsia="Arial" w:cstheme="minorHAnsi"/>
          <w:b/>
          <w:bCs/>
          <w:sz w:val="44"/>
          <w:szCs w:val="44"/>
          <w:lang w:eastAsia="es-ES"/>
        </w:rPr>
        <w:t xml:space="preserve"> en el olivar y el Manifiesto de Lisboa como legado del OOWC 2026</w:t>
      </w:r>
    </w:p>
    <w:p w14:paraId="326BDEFA" w14:textId="77777777" w:rsidR="005A59B5" w:rsidRDefault="005A59B5" w:rsidP="005A59B5">
      <w:pPr>
        <w:jc w:val="both"/>
        <w:rPr>
          <w:rFonts w:eastAsia="Times New Roman" w:cstheme="minorHAnsi"/>
          <w:b/>
          <w:bCs/>
          <w:lang w:eastAsia="es-ES"/>
        </w:rPr>
      </w:pPr>
    </w:p>
    <w:p w14:paraId="705C7ABB" w14:textId="0499C51C" w:rsidR="005A59B5" w:rsidRPr="005A59B5" w:rsidRDefault="005A59B5" w:rsidP="005A59B5">
      <w:pPr>
        <w:pStyle w:val="Prrafodelista"/>
        <w:numPr>
          <w:ilvl w:val="0"/>
          <w:numId w:val="26"/>
        </w:numPr>
        <w:jc w:val="both"/>
        <w:rPr>
          <w:rFonts w:eastAsia="Times New Roman" w:cstheme="minorHAnsi"/>
          <w:b/>
          <w:bCs/>
          <w:lang w:eastAsia="es-ES"/>
        </w:rPr>
      </w:pPr>
      <w:r>
        <w:rPr>
          <w:rFonts w:eastAsia="Times New Roman" w:cstheme="minorHAnsi"/>
          <w:b/>
          <w:bCs/>
          <w:lang w:eastAsia="es-ES"/>
        </w:rPr>
        <w:t xml:space="preserve">Con estas aportaciones, la segunda edición del Olive </w:t>
      </w:r>
      <w:proofErr w:type="spellStart"/>
      <w:r>
        <w:rPr>
          <w:rFonts w:eastAsia="Times New Roman" w:cstheme="minorHAnsi"/>
          <w:b/>
          <w:bCs/>
          <w:lang w:eastAsia="es-ES"/>
        </w:rPr>
        <w:t>Oil</w:t>
      </w:r>
      <w:proofErr w:type="spellEnd"/>
      <w:r>
        <w:rPr>
          <w:rFonts w:eastAsia="Times New Roman" w:cstheme="minorHAnsi"/>
          <w:b/>
          <w:bCs/>
          <w:lang w:eastAsia="es-ES"/>
        </w:rPr>
        <w:t xml:space="preserve"> World Congress </w:t>
      </w:r>
      <w:r w:rsidR="002F5898">
        <w:rPr>
          <w:rFonts w:eastAsia="Times New Roman" w:cstheme="minorHAnsi"/>
          <w:b/>
          <w:bCs/>
          <w:lang w:eastAsia="es-ES"/>
        </w:rPr>
        <w:t xml:space="preserve">(OOWC) </w:t>
      </w:r>
      <w:r>
        <w:rPr>
          <w:rFonts w:eastAsia="Times New Roman" w:cstheme="minorHAnsi"/>
          <w:b/>
          <w:bCs/>
          <w:lang w:eastAsia="es-ES"/>
        </w:rPr>
        <w:t>reunió en Lisboa a cerca de 380 profesionales de 43 países, entre ellos los ministros José Manuel Fernandes (Portugal), Anton Refalo (Malta), Rezq Salimiya (Estado de Palestina) y Rana Tanveer Hussain (Pakistán), reforzando su proyección internacional como punto de encuentro del sector oleícola</w:t>
      </w:r>
    </w:p>
    <w:p w14:paraId="053933D2" w14:textId="344C5CBE" w:rsidR="002F5898" w:rsidRPr="002F5898" w:rsidRDefault="005A59B5" w:rsidP="002F5898">
      <w:pPr>
        <w:pStyle w:val="isselectedend"/>
        <w:numPr>
          <w:ilvl w:val="0"/>
          <w:numId w:val="26"/>
        </w:numPr>
        <w:jc w:val="both"/>
        <w:rPr>
          <w:rFonts w:asciiTheme="minorHAnsi" w:hAnsiTheme="minorHAnsi" w:cstheme="minorHAnsi"/>
          <w:b/>
          <w:bCs/>
          <w:sz w:val="22"/>
          <w:szCs w:val="22"/>
          <w:lang w:val="es-ES_tradnl"/>
        </w:rPr>
      </w:pPr>
      <w:r>
        <w:rPr>
          <w:rFonts w:asciiTheme="minorHAnsi" w:hAnsiTheme="minorHAnsi" w:cstheme="minorHAnsi"/>
          <w:b/>
          <w:bCs/>
          <w:sz w:val="22"/>
          <w:szCs w:val="22"/>
          <w:lang w:val="es-ES_tradnl"/>
        </w:rPr>
        <w:t xml:space="preserve">El </w:t>
      </w:r>
      <w:r w:rsidR="002F5898">
        <w:rPr>
          <w:rFonts w:asciiTheme="minorHAnsi" w:hAnsiTheme="minorHAnsi" w:cstheme="minorHAnsi"/>
          <w:b/>
          <w:bCs/>
          <w:sz w:val="22"/>
          <w:szCs w:val="22"/>
          <w:lang w:val="es-ES_tradnl"/>
        </w:rPr>
        <w:t>C</w:t>
      </w:r>
      <w:r>
        <w:rPr>
          <w:rFonts w:asciiTheme="minorHAnsi" w:hAnsiTheme="minorHAnsi" w:cstheme="minorHAnsi"/>
          <w:b/>
          <w:bCs/>
          <w:sz w:val="22"/>
          <w:szCs w:val="22"/>
          <w:lang w:val="es-ES_tradnl"/>
        </w:rPr>
        <w:t>ongreso reunió también al director ejecutivo del Consejo Oleícola Internacional (COI), Jaime Lillo, y al consejero de Agricultura, Ganadería y Desarrollo Rural de Castilla-La Mancha, Julián Martínez Lizán, junto a responsables institucionales, investigadores y empresas de toda la cadena de valor</w:t>
      </w:r>
      <w:r w:rsidR="002F5898">
        <w:rPr>
          <w:rFonts w:asciiTheme="minorHAnsi" w:hAnsiTheme="minorHAnsi" w:cstheme="minorHAnsi"/>
          <w:b/>
          <w:bCs/>
          <w:sz w:val="22"/>
          <w:szCs w:val="22"/>
          <w:lang w:val="es-ES_tradnl"/>
        </w:rPr>
        <w:t xml:space="preserve"> </w:t>
      </w:r>
    </w:p>
    <w:p w14:paraId="76C4E9AE" w14:textId="298A6E77" w:rsidR="005A59B5" w:rsidRPr="00B424A0" w:rsidRDefault="005A59B5" w:rsidP="002F5898">
      <w:pPr>
        <w:pStyle w:val="isselectedend"/>
        <w:numPr>
          <w:ilvl w:val="0"/>
          <w:numId w:val="27"/>
        </w:numPr>
        <w:jc w:val="both"/>
        <w:rPr>
          <w:rFonts w:asciiTheme="minorHAnsi" w:hAnsiTheme="minorHAnsi" w:cstheme="minorHAnsi"/>
          <w:b/>
          <w:bCs/>
          <w:sz w:val="22"/>
          <w:szCs w:val="22"/>
          <w:lang w:val="es-ES_tradnl"/>
        </w:rPr>
      </w:pPr>
      <w:r w:rsidRPr="00B424A0">
        <w:rPr>
          <w:rFonts w:asciiTheme="minorHAnsi" w:hAnsiTheme="minorHAnsi" w:cstheme="minorHAnsi"/>
          <w:b/>
          <w:bCs/>
          <w:sz w:val="22"/>
          <w:szCs w:val="22"/>
          <w:lang w:val="es-ES_tradnl"/>
        </w:rPr>
        <w:t xml:space="preserve">Las dos jornadas abordaron la revolución de la inteligencia artificial en el olivar, la adaptación al cambio climático, la </w:t>
      </w:r>
      <w:r w:rsidR="002F5898">
        <w:rPr>
          <w:rFonts w:asciiTheme="minorHAnsi" w:hAnsiTheme="minorHAnsi" w:cstheme="minorHAnsi"/>
          <w:b/>
          <w:bCs/>
          <w:sz w:val="22"/>
          <w:szCs w:val="22"/>
          <w:lang w:val="es-ES_tradnl"/>
        </w:rPr>
        <w:t>C</w:t>
      </w:r>
      <w:r w:rsidRPr="00B424A0">
        <w:rPr>
          <w:rFonts w:asciiTheme="minorHAnsi" w:hAnsiTheme="minorHAnsi" w:cstheme="minorHAnsi"/>
          <w:b/>
          <w:bCs/>
          <w:sz w:val="22"/>
          <w:szCs w:val="22"/>
          <w:lang w:val="es-ES_tradnl"/>
        </w:rPr>
        <w:t xml:space="preserve">iencia detrás de los beneficios del AOVE para la salud y las estrategias de expansión en los mercados globales. </w:t>
      </w:r>
      <w:r w:rsidR="002F5898">
        <w:rPr>
          <w:rFonts w:asciiTheme="minorHAnsi" w:hAnsiTheme="minorHAnsi" w:cstheme="minorHAnsi"/>
          <w:b/>
          <w:bCs/>
          <w:sz w:val="22"/>
          <w:szCs w:val="22"/>
          <w:lang w:val="es-ES_tradnl"/>
        </w:rPr>
        <w:t>Y e</w:t>
      </w:r>
      <w:r w:rsidRPr="00B424A0">
        <w:rPr>
          <w:rFonts w:asciiTheme="minorHAnsi" w:hAnsiTheme="minorHAnsi" w:cstheme="minorHAnsi"/>
          <w:b/>
          <w:bCs/>
          <w:sz w:val="22"/>
          <w:szCs w:val="22"/>
          <w:lang w:val="es-ES_tradnl"/>
        </w:rPr>
        <w:t xml:space="preserve">l </w:t>
      </w:r>
      <w:r w:rsidR="002F5898">
        <w:rPr>
          <w:rFonts w:asciiTheme="minorHAnsi" w:hAnsiTheme="minorHAnsi" w:cstheme="minorHAnsi"/>
          <w:b/>
          <w:bCs/>
          <w:sz w:val="22"/>
          <w:szCs w:val="22"/>
          <w:lang w:val="es-ES_tradnl"/>
        </w:rPr>
        <w:t>C</w:t>
      </w:r>
      <w:r w:rsidRPr="00B424A0">
        <w:rPr>
          <w:rFonts w:asciiTheme="minorHAnsi" w:hAnsiTheme="minorHAnsi" w:cstheme="minorHAnsi"/>
          <w:b/>
          <w:bCs/>
          <w:sz w:val="22"/>
          <w:szCs w:val="22"/>
          <w:lang w:val="es-ES_tradnl"/>
        </w:rPr>
        <w:t xml:space="preserve">ongreso culminó con </w:t>
      </w:r>
      <w:r w:rsidR="002F5898">
        <w:rPr>
          <w:rFonts w:asciiTheme="minorHAnsi" w:hAnsiTheme="minorHAnsi" w:cstheme="minorHAnsi"/>
          <w:b/>
          <w:bCs/>
          <w:sz w:val="22"/>
          <w:szCs w:val="22"/>
          <w:lang w:val="es-ES_tradnl"/>
        </w:rPr>
        <w:t xml:space="preserve">un </w:t>
      </w:r>
      <w:r w:rsidRPr="00B424A0">
        <w:rPr>
          <w:rFonts w:asciiTheme="minorHAnsi" w:hAnsiTheme="minorHAnsi" w:cstheme="minorHAnsi"/>
          <w:b/>
          <w:bCs/>
          <w:sz w:val="22"/>
          <w:szCs w:val="22"/>
          <w:lang w:val="es-ES_tradnl"/>
        </w:rPr>
        <w:t xml:space="preserve">primer paso para la elaboración del Manifiesto de Lisboa, documento de consenso </w:t>
      </w:r>
      <w:r w:rsidR="002F5898">
        <w:rPr>
          <w:rFonts w:asciiTheme="minorHAnsi" w:hAnsiTheme="minorHAnsi" w:cstheme="minorHAnsi"/>
          <w:b/>
          <w:bCs/>
          <w:sz w:val="22"/>
          <w:szCs w:val="22"/>
          <w:lang w:val="es-ES_tradnl"/>
        </w:rPr>
        <w:t>que está llamado a</w:t>
      </w:r>
      <w:r w:rsidRPr="00B424A0">
        <w:rPr>
          <w:rFonts w:asciiTheme="minorHAnsi" w:hAnsiTheme="minorHAnsi" w:cstheme="minorHAnsi"/>
          <w:b/>
          <w:bCs/>
          <w:sz w:val="22"/>
          <w:szCs w:val="22"/>
          <w:lang w:val="es-ES_tradnl"/>
        </w:rPr>
        <w:t xml:space="preserve"> convertirse </w:t>
      </w:r>
      <w:r w:rsidR="002F5898">
        <w:rPr>
          <w:rFonts w:asciiTheme="minorHAnsi" w:hAnsiTheme="minorHAnsi" w:cstheme="minorHAnsi"/>
          <w:b/>
          <w:bCs/>
          <w:sz w:val="22"/>
          <w:szCs w:val="22"/>
          <w:lang w:val="es-ES_tradnl"/>
        </w:rPr>
        <w:t xml:space="preserve">en la </w:t>
      </w:r>
      <w:r w:rsidRPr="00B424A0">
        <w:rPr>
          <w:rFonts w:asciiTheme="minorHAnsi" w:hAnsiTheme="minorHAnsi" w:cstheme="minorHAnsi"/>
          <w:b/>
          <w:bCs/>
          <w:sz w:val="22"/>
          <w:szCs w:val="22"/>
          <w:lang w:val="es-ES_tradnl"/>
        </w:rPr>
        <w:t>hoja de ruta del sector oleícola mundial</w:t>
      </w:r>
    </w:p>
    <w:p w14:paraId="64E14EA8" w14:textId="64CDC3F4" w:rsidR="005824C2" w:rsidRPr="005A59B5" w:rsidRDefault="00620542" w:rsidP="005824C2">
      <w:pPr>
        <w:pStyle w:val="isselectedend"/>
        <w:jc w:val="both"/>
        <w:rPr>
          <w:rFonts w:asciiTheme="minorHAnsi" w:hAnsiTheme="minorHAnsi" w:cstheme="minorHAnsi"/>
          <w:b/>
          <w:bCs/>
          <w:sz w:val="22"/>
          <w:szCs w:val="22"/>
          <w:lang w:val="es-ES_tradnl"/>
        </w:rPr>
      </w:pPr>
      <w:r>
        <w:rPr>
          <w:rFonts w:asciiTheme="minorHAnsi" w:hAnsiTheme="minorHAnsi" w:cstheme="minorHAnsi"/>
          <w:b/>
          <w:bCs/>
          <w:sz w:val="22"/>
          <w:szCs w:val="22"/>
        </w:rPr>
        <w:t xml:space="preserve">Madrid, a </w:t>
      </w:r>
      <w:r w:rsidR="00675A50">
        <w:rPr>
          <w:rFonts w:asciiTheme="minorHAnsi" w:hAnsiTheme="minorHAnsi" w:cstheme="minorHAnsi"/>
          <w:b/>
          <w:bCs/>
          <w:sz w:val="22"/>
          <w:szCs w:val="22"/>
        </w:rPr>
        <w:t>9</w:t>
      </w:r>
      <w:r>
        <w:rPr>
          <w:rFonts w:asciiTheme="minorHAnsi" w:hAnsiTheme="minorHAnsi" w:cstheme="minorHAnsi"/>
          <w:b/>
          <w:bCs/>
          <w:sz w:val="22"/>
          <w:szCs w:val="22"/>
        </w:rPr>
        <w:t xml:space="preserve"> de julio de 2026.-</w:t>
      </w:r>
      <w:r>
        <w:rPr>
          <w:rFonts w:asciiTheme="minorHAnsi" w:hAnsiTheme="minorHAnsi" w:cstheme="minorHAnsi"/>
          <w:sz w:val="22"/>
          <w:szCs w:val="22"/>
        </w:rPr>
        <w:t xml:space="preserve"> No es habitual que </w:t>
      </w:r>
      <w:r>
        <w:rPr>
          <w:rFonts w:asciiTheme="minorHAnsi" w:hAnsiTheme="minorHAnsi" w:cstheme="minorHAnsi"/>
          <w:b/>
          <w:bCs/>
          <w:sz w:val="22"/>
          <w:szCs w:val="22"/>
        </w:rPr>
        <w:t>cuatro ministros de varios continentes</w:t>
      </w:r>
      <w:r>
        <w:rPr>
          <w:rFonts w:asciiTheme="minorHAnsi" w:hAnsiTheme="minorHAnsi" w:cstheme="minorHAnsi"/>
          <w:sz w:val="22"/>
          <w:szCs w:val="22"/>
        </w:rPr>
        <w:t xml:space="preserve"> coincidan en un </w:t>
      </w:r>
      <w:r w:rsidR="002F5898">
        <w:rPr>
          <w:rFonts w:asciiTheme="minorHAnsi" w:hAnsiTheme="minorHAnsi" w:cstheme="minorHAnsi"/>
          <w:sz w:val="22"/>
          <w:szCs w:val="22"/>
        </w:rPr>
        <w:t>C</w:t>
      </w:r>
      <w:r>
        <w:rPr>
          <w:rFonts w:asciiTheme="minorHAnsi" w:hAnsiTheme="minorHAnsi" w:cstheme="minorHAnsi"/>
          <w:sz w:val="22"/>
          <w:szCs w:val="22"/>
        </w:rPr>
        <w:t xml:space="preserve">ongreso del sector oleícola. El </w:t>
      </w:r>
      <w:r>
        <w:rPr>
          <w:rFonts w:asciiTheme="minorHAnsi" w:hAnsiTheme="minorHAnsi" w:cstheme="minorHAnsi"/>
          <w:b/>
          <w:bCs/>
          <w:sz w:val="22"/>
          <w:szCs w:val="22"/>
        </w:rPr>
        <w:t>Olive Oil World Congress (OOWC)</w:t>
      </w:r>
      <w:r>
        <w:rPr>
          <w:rFonts w:asciiTheme="minorHAnsi" w:hAnsiTheme="minorHAnsi" w:cstheme="minorHAnsi"/>
          <w:sz w:val="22"/>
          <w:szCs w:val="22"/>
        </w:rPr>
        <w:t xml:space="preserve"> lo ha conseguido. Su segunda edición, celebrada en Lisboa los días 2 y 3 de julio, reunió a </w:t>
      </w:r>
      <w:r>
        <w:rPr>
          <w:rFonts w:asciiTheme="minorHAnsi" w:hAnsiTheme="minorHAnsi" w:cstheme="minorHAnsi"/>
          <w:b/>
          <w:bCs/>
          <w:sz w:val="22"/>
          <w:szCs w:val="22"/>
        </w:rPr>
        <w:t>casi 380 profesionales de 43 países</w:t>
      </w:r>
      <w:r>
        <w:rPr>
          <w:rFonts w:asciiTheme="minorHAnsi" w:hAnsiTheme="minorHAnsi" w:cstheme="minorHAnsi"/>
          <w:sz w:val="22"/>
          <w:szCs w:val="22"/>
        </w:rPr>
        <w:t xml:space="preserve"> y contó con la participación activa de </w:t>
      </w:r>
      <w:r>
        <w:rPr>
          <w:rFonts w:asciiTheme="minorHAnsi" w:hAnsiTheme="minorHAnsi" w:cstheme="minorHAnsi"/>
          <w:b/>
          <w:bCs/>
          <w:sz w:val="22"/>
          <w:szCs w:val="22"/>
        </w:rPr>
        <w:t>José Manuel Fernandes (Agricultura y Asuntos Marítimos, Portugal), Anton Refalo (Agricultura, Pesca y Derechos de los Animales, Malta), Rezq Salimiya (Agricultura, Estado de Palestina) y Rana Tanveer Hussain (Seguridad Alimentaria Nacional e Investigación, Pakistán), además del consejero de Agricultura de Castilla-La Mancha</w:t>
      </w:r>
      <w:r w:rsidR="00B424A0">
        <w:rPr>
          <w:rFonts w:asciiTheme="minorHAnsi" w:hAnsiTheme="minorHAnsi" w:cstheme="minorHAnsi"/>
          <w:b/>
          <w:bCs/>
          <w:sz w:val="22"/>
          <w:szCs w:val="22"/>
        </w:rPr>
        <w:t>, Julián Martínez Lizán</w:t>
      </w:r>
      <w:r>
        <w:rPr>
          <w:rFonts w:asciiTheme="minorHAnsi" w:hAnsiTheme="minorHAnsi" w:cstheme="minorHAnsi"/>
          <w:b/>
          <w:bCs/>
          <w:sz w:val="22"/>
          <w:szCs w:val="22"/>
        </w:rPr>
        <w:t xml:space="preserve"> y del director ejecutivo del Consejo Oleícola Internacional (COI), Jaime Lillo.</w:t>
      </w:r>
    </w:p>
    <w:p w14:paraId="5CF6D756" w14:textId="0AF92D32" w:rsidR="00BE27E4" w:rsidRDefault="005824C2" w:rsidP="005824C2">
      <w:pPr>
        <w:spacing w:before="100" w:beforeAutospacing="1" w:after="100" w:afterAutospacing="1" w:line="240" w:lineRule="auto"/>
        <w:jc w:val="both"/>
        <w:rPr>
          <w:rFonts w:eastAsia="Times New Roman" w:cstheme="minorHAnsi"/>
          <w:lang w:eastAsia="es-ES"/>
        </w:rPr>
      </w:pPr>
      <w:r>
        <w:rPr>
          <w:rFonts w:eastAsia="Times New Roman" w:cstheme="minorHAnsi"/>
          <w:lang w:val="es-ES" w:eastAsia="es-ES"/>
        </w:rPr>
        <w:t xml:space="preserve">La amplia representación institucional y la participación de profesionales de </w:t>
      </w:r>
      <w:r>
        <w:rPr>
          <w:rFonts w:eastAsia="Times New Roman" w:cstheme="minorHAnsi"/>
          <w:b/>
          <w:bCs/>
          <w:lang w:val="es-ES" w:eastAsia="es-ES"/>
        </w:rPr>
        <w:t>43 países</w:t>
      </w:r>
      <w:r>
        <w:rPr>
          <w:rFonts w:eastAsia="Times New Roman" w:cstheme="minorHAnsi"/>
          <w:lang w:val="es-ES" w:eastAsia="es-ES"/>
        </w:rPr>
        <w:t xml:space="preserve"> de los principales países productores de aceite de oliva permitieron alcanzar un consenso que se </w:t>
      </w:r>
      <w:r w:rsidR="00B424A0">
        <w:rPr>
          <w:rFonts w:eastAsia="Times New Roman" w:cstheme="minorHAnsi"/>
          <w:lang w:val="es-ES" w:eastAsia="es-ES"/>
        </w:rPr>
        <w:t xml:space="preserve">va a </w:t>
      </w:r>
      <w:r>
        <w:rPr>
          <w:rFonts w:eastAsia="Times New Roman" w:cstheme="minorHAnsi"/>
          <w:lang w:val="es-ES" w:eastAsia="es-ES"/>
        </w:rPr>
        <w:t>plasma</w:t>
      </w:r>
      <w:r w:rsidR="00B424A0">
        <w:rPr>
          <w:rFonts w:eastAsia="Times New Roman" w:cstheme="minorHAnsi"/>
          <w:lang w:val="es-ES" w:eastAsia="es-ES"/>
        </w:rPr>
        <w:t>r</w:t>
      </w:r>
      <w:r>
        <w:rPr>
          <w:rFonts w:eastAsia="Times New Roman" w:cstheme="minorHAnsi"/>
          <w:lang w:val="es-ES" w:eastAsia="es-ES"/>
        </w:rPr>
        <w:t xml:space="preserve"> en el </w:t>
      </w:r>
      <w:r>
        <w:rPr>
          <w:rFonts w:eastAsia="Times New Roman" w:cstheme="minorHAnsi"/>
          <w:b/>
          <w:bCs/>
          <w:lang w:val="es-ES" w:eastAsia="es-ES"/>
        </w:rPr>
        <w:t>Manifiesto de Lisboa</w:t>
      </w:r>
      <w:r>
        <w:rPr>
          <w:rFonts w:eastAsia="Times New Roman" w:cstheme="minorHAnsi"/>
          <w:lang w:val="es-ES" w:eastAsia="es-ES"/>
        </w:rPr>
        <w:t xml:space="preserve">, </w:t>
      </w:r>
      <w:r w:rsidR="00BE27E4" w:rsidRPr="00BE27E4">
        <w:rPr>
          <w:rFonts w:eastAsia="Times New Roman" w:cstheme="minorHAnsi"/>
          <w:lang w:eastAsia="es-ES"/>
        </w:rPr>
        <w:t>un documento abierto a futuras aportaciones, elaborado a partir de las ponencias científicas, los debates técnicos y los encuentros institucionales mantenidos durante el Congreso.</w:t>
      </w:r>
    </w:p>
    <w:p w14:paraId="32936796" w14:textId="78C948B2" w:rsidR="005824C2" w:rsidRPr="005824C2" w:rsidRDefault="005824C2" w:rsidP="005824C2">
      <w:pPr>
        <w:spacing w:before="100" w:beforeAutospacing="1" w:after="100" w:afterAutospacing="1" w:line="240" w:lineRule="auto"/>
        <w:jc w:val="both"/>
        <w:rPr>
          <w:rFonts w:eastAsia="Times New Roman" w:cstheme="minorHAnsi"/>
          <w:lang w:val="es-ES" w:eastAsia="es-ES"/>
        </w:rPr>
      </w:pPr>
      <w:r>
        <w:rPr>
          <w:rFonts w:eastAsia="Times New Roman" w:cstheme="minorHAnsi"/>
          <w:lang w:val="es-ES" w:eastAsia="es-ES"/>
        </w:rPr>
        <w:lastRenderedPageBreak/>
        <w:t xml:space="preserve">Concebido como una </w:t>
      </w:r>
      <w:r>
        <w:rPr>
          <w:rFonts w:eastAsia="Times New Roman" w:cstheme="minorHAnsi"/>
          <w:b/>
          <w:bCs/>
          <w:lang w:val="es-ES" w:eastAsia="es-ES"/>
        </w:rPr>
        <w:t>hoja de ruta para el sector oleícola mundial</w:t>
      </w:r>
      <w:r>
        <w:rPr>
          <w:rFonts w:eastAsia="Times New Roman" w:cstheme="minorHAnsi"/>
          <w:lang w:val="es-ES" w:eastAsia="es-ES"/>
        </w:rPr>
        <w:t xml:space="preserve">, el texto se pondrá al servicio de </w:t>
      </w:r>
      <w:r w:rsidR="002F5898">
        <w:rPr>
          <w:rFonts w:eastAsia="Times New Roman" w:cstheme="minorHAnsi"/>
          <w:lang w:val="es-ES" w:eastAsia="es-ES"/>
        </w:rPr>
        <w:t>las A</w:t>
      </w:r>
      <w:r>
        <w:rPr>
          <w:rFonts w:eastAsia="Times New Roman" w:cstheme="minorHAnsi"/>
          <w:lang w:val="es-ES" w:eastAsia="es-ES"/>
        </w:rPr>
        <w:t>dministraciones públicas, organismos internacionales y operadores de toda la cadena de valor.</w:t>
      </w:r>
    </w:p>
    <w:p w14:paraId="15CF4155" w14:textId="69E5E234" w:rsidR="005824C2" w:rsidRPr="005824C2" w:rsidRDefault="005824C2" w:rsidP="005824C2">
      <w:pPr>
        <w:spacing w:before="100" w:beforeAutospacing="1" w:after="100" w:afterAutospacing="1" w:line="240" w:lineRule="auto"/>
        <w:jc w:val="both"/>
        <w:rPr>
          <w:rFonts w:eastAsia="Times New Roman" w:cstheme="minorHAnsi"/>
          <w:lang w:val="es-ES" w:eastAsia="es-ES"/>
        </w:rPr>
      </w:pPr>
      <w:r w:rsidRPr="002F5898">
        <w:rPr>
          <w:rFonts w:eastAsia="Times New Roman" w:cstheme="minorHAnsi"/>
          <w:i/>
          <w:iCs/>
          <w:lang w:val="es-ES" w:eastAsia="es-ES"/>
        </w:rPr>
        <w:t xml:space="preserve">"El </w:t>
      </w:r>
      <w:r w:rsidRPr="002F5898">
        <w:rPr>
          <w:rFonts w:eastAsia="Times New Roman" w:cstheme="minorHAnsi"/>
          <w:b/>
          <w:bCs/>
          <w:i/>
          <w:iCs/>
          <w:lang w:val="es-ES" w:eastAsia="es-ES"/>
        </w:rPr>
        <w:t>Manifiesto de Lisboa</w:t>
      </w:r>
      <w:r w:rsidRPr="002F5898">
        <w:rPr>
          <w:rFonts w:eastAsia="Times New Roman" w:cstheme="minorHAnsi"/>
          <w:i/>
          <w:iCs/>
          <w:lang w:val="es-ES" w:eastAsia="es-ES"/>
        </w:rPr>
        <w:t xml:space="preserve"> refleja la madurez alcanzada por el Olive Oil World Congress como espacio de diálogo y cooperación. Queremos que sea un documento útil, abierto y vivo, capaz de orientar las decisiones del sector sobre la base del conocimiento científico y de un consenso verdaderamente internacional",</w:t>
      </w:r>
      <w:r>
        <w:rPr>
          <w:rFonts w:eastAsia="Times New Roman" w:cstheme="minorHAnsi"/>
          <w:lang w:val="es-ES" w:eastAsia="es-ES"/>
        </w:rPr>
        <w:t xml:space="preserve"> asegura </w:t>
      </w:r>
      <w:r w:rsidR="00B424A0">
        <w:rPr>
          <w:rFonts w:eastAsia="Times New Roman" w:cstheme="minorHAnsi"/>
          <w:b/>
          <w:bCs/>
          <w:lang w:val="es-ES" w:eastAsia="es-ES"/>
        </w:rPr>
        <w:t>Ricardo Migueláñez</w:t>
      </w:r>
      <w:r w:rsidR="00B424A0" w:rsidRPr="00B424A0">
        <w:rPr>
          <w:rFonts w:eastAsia="Times New Roman" w:cstheme="minorHAnsi"/>
          <w:lang w:val="es-ES" w:eastAsia="es-ES"/>
        </w:rPr>
        <w:t>, coordinador general</w:t>
      </w:r>
      <w:r w:rsidR="00B424A0">
        <w:rPr>
          <w:rFonts w:eastAsia="Times New Roman" w:cstheme="minorHAnsi"/>
          <w:lang w:val="es-ES" w:eastAsia="es-ES"/>
        </w:rPr>
        <w:t xml:space="preserve"> del OOWC</w:t>
      </w:r>
      <w:r w:rsidR="00B424A0" w:rsidRPr="00B424A0">
        <w:rPr>
          <w:rFonts w:eastAsia="Times New Roman" w:cstheme="minorHAnsi"/>
          <w:lang w:val="es-ES" w:eastAsia="es-ES"/>
        </w:rPr>
        <w:t>.</w:t>
      </w:r>
    </w:p>
    <w:p w14:paraId="4B0A10F3" w14:textId="77777777" w:rsidR="005824C2" w:rsidRPr="005824C2" w:rsidRDefault="005824C2" w:rsidP="005824C2">
      <w:pPr>
        <w:spacing w:before="100" w:beforeAutospacing="1" w:after="100" w:afterAutospacing="1" w:line="240" w:lineRule="auto"/>
        <w:jc w:val="both"/>
        <w:rPr>
          <w:rFonts w:eastAsia="Times New Roman" w:cstheme="minorHAnsi"/>
          <w:lang w:val="es-ES" w:eastAsia="es-ES"/>
        </w:rPr>
      </w:pPr>
      <w:r>
        <w:rPr>
          <w:rFonts w:eastAsia="Times New Roman" w:cstheme="minorHAnsi"/>
          <w:lang w:val="es-ES" w:eastAsia="es-ES"/>
        </w:rPr>
        <w:t xml:space="preserve">El mensaje que vertebra el Manifiesto es claro: </w:t>
      </w:r>
      <w:r>
        <w:rPr>
          <w:rFonts w:eastAsia="Times New Roman" w:cstheme="minorHAnsi"/>
          <w:b/>
          <w:bCs/>
          <w:lang w:val="es-ES" w:eastAsia="es-ES"/>
        </w:rPr>
        <w:t>la salud constituye el mayor valor que el aceite de oliva aporta al mundo</w:t>
      </w:r>
      <w:r>
        <w:rPr>
          <w:rFonts w:eastAsia="Times New Roman" w:cstheme="minorHAnsi"/>
          <w:lang w:val="es-ES" w:eastAsia="es-ES"/>
        </w:rPr>
        <w:t xml:space="preserve">. Una convicción respaldada por décadas de investigación científica que los participantes consideran debe orientar las políticas públicas, la investigación y la comunicación del sector. El documento nace con vocación de permanencia como un </w:t>
      </w:r>
      <w:r>
        <w:rPr>
          <w:rFonts w:eastAsia="Times New Roman" w:cstheme="minorHAnsi"/>
          <w:b/>
          <w:bCs/>
          <w:lang w:val="es-ES" w:eastAsia="es-ES"/>
        </w:rPr>
        <w:t>documento vivo</w:t>
      </w:r>
      <w:r>
        <w:rPr>
          <w:rFonts w:eastAsia="Times New Roman" w:cstheme="minorHAnsi"/>
          <w:lang w:val="es-ES" w:eastAsia="es-ES"/>
        </w:rPr>
        <w:t>, abierto a nuevas aportaciones de expertos y de los países participantes.</w:t>
      </w:r>
    </w:p>
    <w:p w14:paraId="5C392785" w14:textId="77777777" w:rsidR="005824C2" w:rsidRPr="005824C2" w:rsidRDefault="005824C2" w:rsidP="005824C2">
      <w:pPr>
        <w:spacing w:before="100" w:beforeAutospacing="1" w:after="100" w:afterAutospacing="1" w:line="240" w:lineRule="auto"/>
        <w:jc w:val="both"/>
        <w:outlineLvl w:val="1"/>
        <w:rPr>
          <w:rFonts w:eastAsia="Times New Roman" w:cstheme="minorHAnsi"/>
          <w:b/>
          <w:bCs/>
          <w:lang w:val="es-ES" w:eastAsia="es-ES"/>
        </w:rPr>
      </w:pPr>
      <w:r>
        <w:rPr>
          <w:rFonts w:eastAsia="Times New Roman" w:cstheme="minorHAnsi"/>
          <w:b/>
          <w:bCs/>
          <w:lang w:val="es-ES" w:eastAsia="es-ES"/>
        </w:rPr>
        <w:t>Dos jornadas de alto voltaje: de la inteligencia artificial al olivar al Manifiesto de Lisboa</w:t>
      </w:r>
    </w:p>
    <w:p w14:paraId="3DBC4F6D" w14:textId="77777777" w:rsidR="00B424A0" w:rsidRDefault="005824C2" w:rsidP="005824C2">
      <w:pPr>
        <w:spacing w:before="100" w:beforeAutospacing="1" w:after="100" w:afterAutospacing="1" w:line="240" w:lineRule="auto"/>
        <w:jc w:val="both"/>
        <w:rPr>
          <w:rFonts w:eastAsia="Times New Roman" w:cstheme="minorHAnsi"/>
          <w:lang w:val="es-ES" w:eastAsia="es-ES"/>
        </w:rPr>
      </w:pPr>
      <w:r>
        <w:rPr>
          <w:rFonts w:eastAsia="Times New Roman" w:cstheme="minorHAnsi"/>
          <w:lang w:val="es-ES" w:eastAsia="es-ES"/>
        </w:rPr>
        <w:t xml:space="preserve">La conferencia inaugural, a cargo del científico </w:t>
      </w:r>
      <w:r w:rsidRPr="002F5898">
        <w:rPr>
          <w:rFonts w:eastAsia="Times New Roman" w:cstheme="minorHAnsi"/>
          <w:b/>
          <w:bCs/>
          <w:lang w:val="es-ES" w:eastAsia="es-ES"/>
        </w:rPr>
        <w:t>Fabrice DeClerck</w:t>
      </w:r>
      <w:r>
        <w:rPr>
          <w:rFonts w:eastAsia="Times New Roman" w:cstheme="minorHAnsi"/>
          <w:lang w:val="es-ES" w:eastAsia="es-ES"/>
        </w:rPr>
        <w:t>, marcó el tono de las jornadas: el aceite de oliva como «modelo» en la transición global hacia dietas más saludables, y el olivar como sistema agrícola con capacidad de capturar carbono y reforzar la biodiversidad cuando se aplican prácticas regenerativas.</w:t>
      </w:r>
    </w:p>
    <w:p w14:paraId="5C392786" w14:textId="515AC604" w:rsidR="005824C2" w:rsidRPr="005824C2" w:rsidRDefault="005824C2" w:rsidP="005824C2">
      <w:pPr>
        <w:spacing w:before="100" w:beforeAutospacing="1" w:after="100" w:afterAutospacing="1" w:line="240" w:lineRule="auto"/>
        <w:jc w:val="both"/>
        <w:rPr>
          <w:rFonts w:eastAsia="Times New Roman" w:cstheme="minorHAnsi"/>
          <w:lang w:val="es-ES" w:eastAsia="es-ES"/>
        </w:rPr>
      </w:pPr>
      <w:r>
        <w:rPr>
          <w:rFonts w:eastAsia="Times New Roman" w:cstheme="minorHAnsi"/>
          <w:lang w:val="es-ES" w:eastAsia="es-ES"/>
        </w:rPr>
        <w:t xml:space="preserve">La segunda jornada situó la innovación como protagonista indiscutible: los expertos certificaron que la inteligencia artificial es ya la tecnología más implantada en el olivar, con plataformas de gestión digital que permiten planificar las labores de campo con una precisión hasta ahora inaccesible para la mayoría de los olivicultores. Los debates abordaron también la economía circular —con el alperujo, las aguas </w:t>
      </w:r>
      <w:r w:rsidR="002F5898">
        <w:rPr>
          <w:rFonts w:eastAsia="Times New Roman" w:cstheme="minorHAnsi"/>
          <w:lang w:val="es-ES" w:eastAsia="es-ES"/>
        </w:rPr>
        <w:t>residuales</w:t>
      </w:r>
      <w:r>
        <w:rPr>
          <w:rFonts w:eastAsia="Times New Roman" w:cstheme="minorHAnsi"/>
          <w:lang w:val="es-ES" w:eastAsia="es-ES"/>
        </w:rPr>
        <w:t xml:space="preserve"> y el hueso de aceituna como nuevas fuentes de valor—, la adaptación al cambio climático mediante genética avanzada y riego inteligente, las estrategias globales de marca del aceite de oliva virgen extra</w:t>
      </w:r>
      <w:r w:rsidR="002F5898">
        <w:rPr>
          <w:rFonts w:eastAsia="Times New Roman" w:cstheme="minorHAnsi"/>
          <w:lang w:val="es-ES" w:eastAsia="es-ES"/>
        </w:rPr>
        <w:t xml:space="preserve"> (AOVE)</w:t>
      </w:r>
      <w:r>
        <w:rPr>
          <w:rFonts w:eastAsia="Times New Roman" w:cstheme="minorHAnsi"/>
          <w:lang w:val="es-ES" w:eastAsia="es-ES"/>
        </w:rPr>
        <w:t xml:space="preserve"> y la evidencia científica más reciente sobre sus beneficios para la salud.</w:t>
      </w:r>
      <w:r w:rsidR="00B424A0">
        <w:rPr>
          <w:rFonts w:eastAsia="Times New Roman" w:cstheme="minorHAnsi"/>
          <w:lang w:val="es-ES" w:eastAsia="es-ES"/>
        </w:rPr>
        <w:t xml:space="preserve"> </w:t>
      </w:r>
      <w:r>
        <w:rPr>
          <w:rFonts w:eastAsia="Times New Roman" w:cstheme="minorHAnsi"/>
          <w:lang w:val="es-ES" w:eastAsia="es-ES"/>
        </w:rPr>
        <w:t xml:space="preserve">En </w:t>
      </w:r>
      <w:r w:rsidR="002F5898">
        <w:rPr>
          <w:rFonts w:eastAsia="Times New Roman" w:cstheme="minorHAnsi"/>
          <w:lang w:val="es-ES" w:eastAsia="es-ES"/>
        </w:rPr>
        <w:t>referencia</w:t>
      </w:r>
      <w:r>
        <w:rPr>
          <w:rFonts w:eastAsia="Times New Roman" w:cstheme="minorHAnsi"/>
          <w:lang w:val="es-ES" w:eastAsia="es-ES"/>
        </w:rPr>
        <w:t xml:space="preserve"> </w:t>
      </w:r>
      <w:r w:rsidR="002F5898">
        <w:rPr>
          <w:rFonts w:eastAsia="Times New Roman" w:cstheme="minorHAnsi"/>
          <w:lang w:val="es-ES" w:eastAsia="es-ES"/>
        </w:rPr>
        <w:t>a</w:t>
      </w:r>
      <w:r>
        <w:rPr>
          <w:rFonts w:eastAsia="Times New Roman" w:cstheme="minorHAnsi"/>
          <w:lang w:val="es-ES" w:eastAsia="es-ES"/>
        </w:rPr>
        <w:t xml:space="preserve"> los mercados, Jaime Lillo, director ejecutivo del COI, subrayó que uno de cada tres litros producidos en el Mediterráneo ya se consume fuera de la región, una tendencia que convierte la cooperación internacional en una exigencia estratégica para el sector</w:t>
      </w:r>
      <w:r w:rsidR="00273638">
        <w:rPr>
          <w:rFonts w:eastAsia="Times New Roman" w:cstheme="minorHAnsi"/>
          <w:lang w:val="es-ES" w:eastAsia="es-ES"/>
        </w:rPr>
        <w:t xml:space="preserve"> oleícola.</w:t>
      </w:r>
    </w:p>
    <w:p w14:paraId="17AE1314" w14:textId="5AA80F94" w:rsidR="005824C2" w:rsidRPr="005824C2" w:rsidRDefault="005824C2" w:rsidP="005824C2">
      <w:pPr>
        <w:spacing w:before="100" w:beforeAutospacing="1" w:after="100" w:afterAutospacing="1" w:line="240" w:lineRule="auto"/>
        <w:jc w:val="both"/>
        <w:rPr>
          <w:rFonts w:eastAsia="Times New Roman" w:cstheme="minorHAnsi"/>
          <w:lang w:val="es-ES" w:eastAsia="es-ES"/>
        </w:rPr>
      </w:pPr>
      <w:r>
        <w:rPr>
          <w:rFonts w:eastAsia="Times New Roman" w:cstheme="minorHAnsi"/>
          <w:lang w:val="es-ES" w:eastAsia="es-ES"/>
        </w:rPr>
        <w:t xml:space="preserve">La dimensión global del encuentro quedó reflejada también en la composición de los asistentes. Portugal fue la delegación más numerosa, con </w:t>
      </w:r>
      <w:r>
        <w:rPr>
          <w:rFonts w:eastAsia="Times New Roman" w:cstheme="minorHAnsi"/>
          <w:b/>
          <w:bCs/>
          <w:lang w:val="es-ES" w:eastAsia="es-ES"/>
        </w:rPr>
        <w:t>124 profesionales</w:t>
      </w:r>
      <w:r>
        <w:rPr>
          <w:rFonts w:eastAsia="Times New Roman" w:cstheme="minorHAnsi"/>
          <w:lang w:val="es-ES" w:eastAsia="es-ES"/>
        </w:rPr>
        <w:t xml:space="preserve">, seguido de España, con </w:t>
      </w:r>
      <w:r>
        <w:rPr>
          <w:rFonts w:eastAsia="Times New Roman" w:cstheme="minorHAnsi"/>
          <w:b/>
          <w:bCs/>
          <w:lang w:val="es-ES" w:eastAsia="es-ES"/>
        </w:rPr>
        <w:t>84</w:t>
      </w:r>
      <w:r>
        <w:rPr>
          <w:rFonts w:eastAsia="Times New Roman" w:cstheme="minorHAnsi"/>
          <w:lang w:val="es-ES" w:eastAsia="es-ES"/>
        </w:rPr>
        <w:t xml:space="preserve">. Además, participaron representantes de </w:t>
      </w:r>
      <w:r>
        <w:rPr>
          <w:rFonts w:eastAsia="Times New Roman" w:cstheme="minorHAnsi"/>
          <w:b/>
          <w:bCs/>
          <w:lang w:val="es-ES" w:eastAsia="es-ES"/>
        </w:rPr>
        <w:t>algunos de los principales países productores de aceite de oliva</w:t>
      </w:r>
      <w:r>
        <w:rPr>
          <w:rFonts w:eastAsia="Times New Roman" w:cstheme="minorHAnsi"/>
          <w:lang w:val="es-ES" w:eastAsia="es-ES"/>
        </w:rPr>
        <w:t xml:space="preserve">, como Marruecos, Italia, Grecia, Túnez, Argelia, </w:t>
      </w:r>
      <w:r w:rsidR="00675A50">
        <w:rPr>
          <w:rFonts w:eastAsia="Times New Roman" w:cstheme="minorHAnsi"/>
          <w:lang w:val="es-ES" w:eastAsia="es-ES"/>
        </w:rPr>
        <w:t xml:space="preserve">Estado de </w:t>
      </w:r>
      <w:r>
        <w:rPr>
          <w:rFonts w:eastAsia="Times New Roman" w:cstheme="minorHAnsi"/>
          <w:lang w:val="es-ES" w:eastAsia="es-ES"/>
        </w:rPr>
        <w:t>Palestina, Jordania, Egipto, Líbano o Irán, junto con delegaciones de mercados de interés como Malasia,</w:t>
      </w:r>
      <w:r w:rsidR="008965A4">
        <w:rPr>
          <w:rFonts w:eastAsia="Times New Roman" w:cstheme="minorHAnsi"/>
          <w:lang w:val="es-ES" w:eastAsia="es-ES"/>
        </w:rPr>
        <w:t xml:space="preserve"> Estados Unidos,</w:t>
      </w:r>
      <w:r>
        <w:rPr>
          <w:rFonts w:eastAsia="Times New Roman" w:cstheme="minorHAnsi"/>
          <w:lang w:val="es-ES" w:eastAsia="es-ES"/>
        </w:rPr>
        <w:t xml:space="preserve"> Alemania, Brasil, Países Bajos, Chile, Nigeria, Argentina o Australia.</w:t>
      </w:r>
    </w:p>
    <w:p w14:paraId="0C1EA01D" w14:textId="0AEDDE07" w:rsidR="005824C2" w:rsidRPr="005824C2" w:rsidRDefault="005824C2" w:rsidP="005824C2">
      <w:pPr>
        <w:spacing w:before="100" w:beforeAutospacing="1" w:after="100" w:afterAutospacing="1" w:line="240" w:lineRule="auto"/>
        <w:jc w:val="both"/>
        <w:rPr>
          <w:rFonts w:eastAsia="Times New Roman" w:cstheme="minorHAnsi"/>
          <w:lang w:val="es-ES" w:eastAsia="es-ES"/>
        </w:rPr>
      </w:pPr>
      <w:r>
        <w:rPr>
          <w:rFonts w:eastAsia="Times New Roman" w:cstheme="minorHAnsi"/>
          <w:lang w:val="es-ES" w:eastAsia="es-ES"/>
        </w:rPr>
        <w:t xml:space="preserve">El OOWC contó además con la presencia de una delegación de </w:t>
      </w:r>
      <w:r>
        <w:rPr>
          <w:rFonts w:eastAsia="Times New Roman" w:cstheme="minorHAnsi"/>
          <w:b/>
          <w:bCs/>
          <w:lang w:val="es-ES" w:eastAsia="es-ES"/>
        </w:rPr>
        <w:t>Women in Olive</w:t>
      </w:r>
      <w:r>
        <w:rPr>
          <w:rFonts w:eastAsia="Times New Roman" w:cstheme="minorHAnsi"/>
          <w:lang w:val="es-ES" w:eastAsia="es-ES"/>
        </w:rPr>
        <w:t xml:space="preserve">, la red internacional que impulsa el liderazgo femenino en el sector oleícola. Durante el </w:t>
      </w:r>
      <w:r w:rsidR="00273638">
        <w:rPr>
          <w:rFonts w:eastAsia="Times New Roman" w:cstheme="minorHAnsi"/>
          <w:lang w:val="es-ES" w:eastAsia="es-ES"/>
        </w:rPr>
        <w:t>C</w:t>
      </w:r>
      <w:r>
        <w:rPr>
          <w:rFonts w:eastAsia="Times New Roman" w:cstheme="minorHAnsi"/>
          <w:lang w:val="es-ES" w:eastAsia="es-ES"/>
        </w:rPr>
        <w:t xml:space="preserve">ongreso, </w:t>
      </w:r>
      <w:r>
        <w:rPr>
          <w:rFonts w:eastAsia="Times New Roman" w:cstheme="minorHAnsi"/>
          <w:lang w:val="es-ES" w:eastAsia="es-ES"/>
        </w:rPr>
        <w:lastRenderedPageBreak/>
        <w:t xml:space="preserve">ambas organizaciones anunciaron el inicio de una colaboración que se materializará en </w:t>
      </w:r>
      <w:r>
        <w:rPr>
          <w:rFonts w:eastAsia="Times New Roman" w:cstheme="minorHAnsi"/>
          <w:b/>
          <w:bCs/>
          <w:lang w:val="es-ES" w:eastAsia="es-ES"/>
        </w:rPr>
        <w:t>iniciativas conjuntas</w:t>
      </w:r>
      <w:r>
        <w:rPr>
          <w:rFonts w:eastAsia="Times New Roman" w:cstheme="minorHAnsi"/>
          <w:lang w:val="es-ES" w:eastAsia="es-ES"/>
        </w:rPr>
        <w:t xml:space="preserve"> en los próximos meses.</w:t>
      </w:r>
    </w:p>
    <w:p w14:paraId="0DF134B5" w14:textId="77777777" w:rsidR="005824C2" w:rsidRPr="005824C2" w:rsidRDefault="005824C2" w:rsidP="005824C2">
      <w:pPr>
        <w:spacing w:before="100" w:beforeAutospacing="1" w:after="100" w:afterAutospacing="1" w:line="240" w:lineRule="auto"/>
        <w:jc w:val="both"/>
        <w:outlineLvl w:val="1"/>
        <w:rPr>
          <w:rFonts w:eastAsia="Times New Roman" w:cstheme="minorHAnsi"/>
          <w:b/>
          <w:bCs/>
          <w:lang w:val="es-ES" w:eastAsia="es-ES"/>
        </w:rPr>
      </w:pPr>
      <w:r>
        <w:rPr>
          <w:rFonts w:eastAsia="Times New Roman" w:cstheme="minorHAnsi"/>
          <w:b/>
          <w:bCs/>
          <w:lang w:val="es-ES" w:eastAsia="es-ES"/>
        </w:rPr>
        <w:t>Una repercusión mediática sin precedentes en Portugal</w:t>
      </w:r>
    </w:p>
    <w:p w14:paraId="797FB1C2" w14:textId="7A9FCFEA" w:rsidR="005824C2" w:rsidRPr="005824C2" w:rsidRDefault="005824C2" w:rsidP="005824C2">
      <w:pPr>
        <w:spacing w:before="100" w:beforeAutospacing="1" w:after="100" w:afterAutospacing="1" w:line="240" w:lineRule="auto"/>
        <w:jc w:val="both"/>
        <w:rPr>
          <w:rFonts w:eastAsia="Times New Roman" w:cstheme="minorHAnsi"/>
          <w:lang w:val="es-ES" w:eastAsia="es-ES"/>
        </w:rPr>
      </w:pPr>
      <w:r>
        <w:rPr>
          <w:rFonts w:eastAsia="Times New Roman" w:cstheme="minorHAnsi"/>
          <w:lang w:val="es-ES" w:eastAsia="es-ES"/>
        </w:rPr>
        <w:t xml:space="preserve">La dimensión internacional del </w:t>
      </w:r>
      <w:r w:rsidR="00273638">
        <w:rPr>
          <w:rFonts w:eastAsia="Times New Roman" w:cstheme="minorHAnsi"/>
          <w:lang w:val="es-ES" w:eastAsia="es-ES"/>
        </w:rPr>
        <w:t>C</w:t>
      </w:r>
      <w:r>
        <w:rPr>
          <w:rFonts w:eastAsia="Times New Roman" w:cstheme="minorHAnsi"/>
          <w:lang w:val="es-ES" w:eastAsia="es-ES"/>
        </w:rPr>
        <w:t xml:space="preserve">ongreso tuvo su reflejo en la cobertura informativa. El OOWC generó </w:t>
      </w:r>
      <w:r>
        <w:rPr>
          <w:rFonts w:eastAsia="Times New Roman" w:cstheme="minorHAnsi"/>
          <w:b/>
          <w:bCs/>
          <w:lang w:val="es-ES" w:eastAsia="es-ES"/>
        </w:rPr>
        <w:t xml:space="preserve">cerca de </w:t>
      </w:r>
      <w:r w:rsidR="008965A4">
        <w:rPr>
          <w:rFonts w:eastAsia="Times New Roman" w:cstheme="minorHAnsi"/>
          <w:b/>
          <w:bCs/>
          <w:lang w:val="es-ES" w:eastAsia="es-ES"/>
        </w:rPr>
        <w:t>4</w:t>
      </w:r>
      <w:r>
        <w:rPr>
          <w:rFonts w:eastAsia="Times New Roman" w:cstheme="minorHAnsi"/>
          <w:b/>
          <w:bCs/>
          <w:lang w:val="es-ES" w:eastAsia="es-ES"/>
        </w:rPr>
        <w:t>0 impactos</w:t>
      </w:r>
      <w:r w:rsidR="00273638">
        <w:rPr>
          <w:rFonts w:eastAsia="Times New Roman" w:cstheme="minorHAnsi"/>
          <w:b/>
          <w:bCs/>
          <w:lang w:val="es-ES" w:eastAsia="es-ES"/>
        </w:rPr>
        <w:t xml:space="preserve"> directos</w:t>
      </w:r>
      <w:r>
        <w:rPr>
          <w:rFonts w:eastAsia="Times New Roman" w:cstheme="minorHAnsi"/>
          <w:b/>
          <w:bCs/>
          <w:lang w:val="es-ES" w:eastAsia="es-ES"/>
        </w:rPr>
        <w:t xml:space="preserve"> en más de 20 medios portugueses</w:t>
      </w:r>
      <w:r>
        <w:rPr>
          <w:rFonts w:eastAsia="Times New Roman" w:cstheme="minorHAnsi"/>
          <w:lang w:val="es-ES" w:eastAsia="es-ES"/>
        </w:rPr>
        <w:t>, una repercusión sin precedentes para un encuentro de estas características en el país.</w:t>
      </w:r>
    </w:p>
    <w:p w14:paraId="6F52C741" w14:textId="23D318D8" w:rsidR="005824C2" w:rsidRPr="00273638" w:rsidRDefault="005824C2" w:rsidP="005824C2">
      <w:pPr>
        <w:spacing w:before="100" w:beforeAutospacing="1" w:after="100" w:afterAutospacing="1" w:line="240" w:lineRule="auto"/>
        <w:jc w:val="both"/>
        <w:rPr>
          <w:rFonts w:eastAsia="Times New Roman" w:cstheme="minorHAnsi"/>
          <w:i/>
          <w:iCs/>
          <w:lang w:val="es-ES" w:eastAsia="es-ES"/>
        </w:rPr>
      </w:pPr>
      <w:r>
        <w:rPr>
          <w:rFonts w:eastAsia="Times New Roman" w:cstheme="minorHAnsi"/>
          <w:lang w:val="es-ES" w:eastAsia="es-ES"/>
        </w:rPr>
        <w:t xml:space="preserve">Entre los titulares publicados destacaron </w:t>
      </w:r>
      <w:r>
        <w:rPr>
          <w:rFonts w:eastAsia="Times New Roman" w:cstheme="minorHAnsi"/>
          <w:b/>
          <w:bCs/>
          <w:lang w:val="es-ES" w:eastAsia="es-ES"/>
        </w:rPr>
        <w:t>"</w:t>
      </w:r>
      <w:r w:rsidRPr="00273638">
        <w:rPr>
          <w:rFonts w:eastAsia="Times New Roman" w:cstheme="minorHAnsi"/>
          <w:b/>
          <w:bCs/>
          <w:i/>
          <w:iCs/>
          <w:lang w:val="es-ES" w:eastAsia="es-ES"/>
        </w:rPr>
        <w:t>Lisboa, capital mundial do azeite</w:t>
      </w:r>
      <w:r>
        <w:rPr>
          <w:rFonts w:eastAsia="Times New Roman" w:cstheme="minorHAnsi"/>
          <w:b/>
          <w:bCs/>
          <w:lang w:val="es-ES" w:eastAsia="es-ES"/>
        </w:rPr>
        <w:t>"</w:t>
      </w:r>
      <w:r>
        <w:rPr>
          <w:rFonts w:eastAsia="Times New Roman" w:cstheme="minorHAnsi"/>
          <w:lang w:val="es-ES" w:eastAsia="es-ES"/>
        </w:rPr>
        <w:t xml:space="preserve">, </w:t>
      </w:r>
      <w:r>
        <w:rPr>
          <w:rFonts w:eastAsia="Times New Roman" w:cstheme="minorHAnsi"/>
          <w:b/>
          <w:bCs/>
          <w:lang w:val="es-ES" w:eastAsia="es-ES"/>
        </w:rPr>
        <w:t>"</w:t>
      </w:r>
      <w:r w:rsidRPr="00273638">
        <w:rPr>
          <w:rFonts w:eastAsia="Times New Roman" w:cstheme="minorHAnsi"/>
          <w:b/>
          <w:bCs/>
          <w:i/>
          <w:iCs/>
          <w:lang w:val="es-ES" w:eastAsia="es-ES"/>
        </w:rPr>
        <w:t>Azeite português entre melhores do mundo mas há espaço para crescer"</w:t>
      </w:r>
      <w:r w:rsidRPr="00273638">
        <w:rPr>
          <w:rFonts w:eastAsia="Times New Roman" w:cstheme="minorHAnsi"/>
          <w:i/>
          <w:iCs/>
          <w:lang w:val="es-ES" w:eastAsia="es-ES"/>
        </w:rPr>
        <w:t>,</w:t>
      </w:r>
      <w:r>
        <w:rPr>
          <w:rFonts w:eastAsia="Times New Roman" w:cstheme="minorHAnsi"/>
          <w:lang w:val="es-ES" w:eastAsia="es-ES"/>
        </w:rPr>
        <w:t xml:space="preserve"> </w:t>
      </w:r>
      <w:r>
        <w:rPr>
          <w:rFonts w:eastAsia="Times New Roman" w:cstheme="minorHAnsi"/>
          <w:b/>
          <w:bCs/>
          <w:lang w:val="es-ES" w:eastAsia="es-ES"/>
        </w:rPr>
        <w:t>"</w:t>
      </w:r>
      <w:r w:rsidRPr="00273638">
        <w:rPr>
          <w:rFonts w:eastAsia="Times New Roman" w:cstheme="minorHAnsi"/>
          <w:b/>
          <w:bCs/>
          <w:i/>
          <w:iCs/>
          <w:lang w:val="es-ES" w:eastAsia="es-ES"/>
        </w:rPr>
        <w:t>Drones, IA e lagares automatizados: a revolução tecnológica já chegou ao olival"</w:t>
      </w:r>
      <w:r>
        <w:rPr>
          <w:rFonts w:eastAsia="Times New Roman" w:cstheme="minorHAnsi"/>
          <w:lang w:val="es-ES" w:eastAsia="es-ES"/>
        </w:rPr>
        <w:t xml:space="preserve"> y </w:t>
      </w:r>
      <w:r>
        <w:rPr>
          <w:rFonts w:eastAsia="Times New Roman" w:cstheme="minorHAnsi"/>
          <w:b/>
          <w:bCs/>
          <w:lang w:val="es-ES" w:eastAsia="es-ES"/>
        </w:rPr>
        <w:t>"</w:t>
      </w:r>
      <w:r w:rsidRPr="00273638">
        <w:rPr>
          <w:rFonts w:eastAsia="Times New Roman" w:cstheme="minorHAnsi"/>
          <w:b/>
          <w:bCs/>
          <w:i/>
          <w:iCs/>
          <w:lang w:val="es-ES" w:eastAsia="es-ES"/>
        </w:rPr>
        <w:t>Futuro do azeite depende de inovação, tradição e de investimento"</w:t>
      </w:r>
      <w:r w:rsidRPr="00273638">
        <w:rPr>
          <w:rFonts w:eastAsia="Times New Roman" w:cstheme="minorHAnsi"/>
          <w:i/>
          <w:iCs/>
          <w:lang w:val="es-ES" w:eastAsia="es-ES"/>
        </w:rPr>
        <w:t>.</w:t>
      </w:r>
    </w:p>
    <w:p w14:paraId="4100E12E" w14:textId="30D138DA" w:rsidR="005824C2" w:rsidRPr="005824C2" w:rsidRDefault="005824C2" w:rsidP="005824C2">
      <w:pPr>
        <w:spacing w:before="100" w:beforeAutospacing="1" w:after="100" w:afterAutospacing="1" w:line="240" w:lineRule="auto"/>
        <w:jc w:val="both"/>
        <w:rPr>
          <w:rFonts w:eastAsia="Times New Roman" w:cstheme="minorHAnsi"/>
          <w:lang w:val="es-ES" w:eastAsia="es-ES"/>
        </w:rPr>
      </w:pPr>
      <w:r>
        <w:rPr>
          <w:rFonts w:eastAsia="Times New Roman" w:cstheme="minorHAnsi"/>
          <w:lang w:val="es-ES" w:eastAsia="es-ES"/>
        </w:rPr>
        <w:t xml:space="preserve">La </w:t>
      </w:r>
      <w:r>
        <w:rPr>
          <w:rFonts w:eastAsia="Times New Roman" w:cstheme="minorHAnsi"/>
          <w:b/>
          <w:bCs/>
          <w:lang w:val="es-ES" w:eastAsia="es-ES"/>
        </w:rPr>
        <w:t>segunda edición del Olive Oil World Congress</w:t>
      </w:r>
      <w:r>
        <w:rPr>
          <w:rFonts w:eastAsia="Times New Roman" w:cstheme="minorHAnsi"/>
          <w:lang w:val="es-ES" w:eastAsia="es-ES"/>
        </w:rPr>
        <w:t xml:space="preserve"> consolida el crecimiento de esta iniciativa y abre una nueva etapa con el desarrollo del </w:t>
      </w:r>
      <w:r>
        <w:rPr>
          <w:rFonts w:eastAsia="Times New Roman" w:cstheme="minorHAnsi"/>
          <w:b/>
          <w:bCs/>
          <w:lang w:val="es-ES" w:eastAsia="es-ES"/>
        </w:rPr>
        <w:t>Manifiesto de Lisboa</w:t>
      </w:r>
      <w:r>
        <w:rPr>
          <w:rFonts w:eastAsia="Times New Roman" w:cstheme="minorHAnsi"/>
          <w:lang w:val="es-ES" w:eastAsia="es-ES"/>
        </w:rPr>
        <w:t xml:space="preserve">, </w:t>
      </w:r>
      <w:r w:rsidR="00273638">
        <w:rPr>
          <w:rFonts w:eastAsia="Times New Roman" w:cstheme="minorHAnsi"/>
          <w:lang w:val="es-ES" w:eastAsia="es-ES"/>
        </w:rPr>
        <w:t xml:space="preserve">que está </w:t>
      </w:r>
      <w:r>
        <w:rPr>
          <w:rFonts w:eastAsia="Times New Roman" w:cstheme="minorHAnsi"/>
          <w:lang w:val="es-ES" w:eastAsia="es-ES"/>
        </w:rPr>
        <w:t xml:space="preserve">llamado a convertirse en un </w:t>
      </w:r>
      <w:r>
        <w:rPr>
          <w:rFonts w:eastAsia="Times New Roman" w:cstheme="minorHAnsi"/>
          <w:b/>
          <w:bCs/>
          <w:lang w:val="es-ES" w:eastAsia="es-ES"/>
        </w:rPr>
        <w:t>marco de referencia para fortalecer la cooperación internacional</w:t>
      </w:r>
      <w:r>
        <w:rPr>
          <w:rFonts w:eastAsia="Times New Roman" w:cstheme="minorHAnsi"/>
          <w:lang w:val="es-ES" w:eastAsia="es-ES"/>
        </w:rPr>
        <w:t xml:space="preserve"> y afrontar los grandes retos del sector oleícola.</w:t>
      </w:r>
    </w:p>
    <w:p w14:paraId="29C11135" w14:textId="43B67A58" w:rsidR="00356803" w:rsidRPr="00273638" w:rsidRDefault="00356803" w:rsidP="005824C2">
      <w:pPr>
        <w:spacing w:after="180"/>
        <w:jc w:val="both"/>
        <w:rPr>
          <w:rFonts w:cstheme="minorHAnsi"/>
          <w:b/>
          <w:bCs/>
        </w:rPr>
      </w:pPr>
      <w:r>
        <w:rPr>
          <w:rFonts w:cstheme="minorHAnsi"/>
        </w:rPr>
        <w:t>El Congreso c</w:t>
      </w:r>
      <w:r w:rsidR="00273638">
        <w:rPr>
          <w:rFonts w:cstheme="minorHAnsi"/>
        </w:rPr>
        <w:t>ontó</w:t>
      </w:r>
      <w:r>
        <w:rPr>
          <w:rFonts w:cstheme="minorHAnsi"/>
        </w:rPr>
        <w:t xml:space="preserve"> con el respaldo institucional del </w:t>
      </w:r>
      <w:r w:rsidRPr="00273638">
        <w:rPr>
          <w:rFonts w:cstheme="minorHAnsi"/>
          <w:b/>
          <w:bCs/>
        </w:rPr>
        <w:t>Consejo Oleícola Internacional (COI), el CIHEAM Zaragoza y la Fundación Dieta Mediterránea,</w:t>
      </w:r>
      <w:r>
        <w:rPr>
          <w:rFonts w:cstheme="minorHAnsi"/>
        </w:rPr>
        <w:t xml:space="preserve"> junto a entidades públicas como el </w:t>
      </w:r>
      <w:r w:rsidRPr="00273638">
        <w:rPr>
          <w:rFonts w:cstheme="minorHAnsi"/>
          <w:b/>
          <w:bCs/>
        </w:rPr>
        <w:t>Ministerio de Agricultura y Asuntos Marítimos de Portugal, la Junta de Castilla-La Mancha ('Campo y Alma'), la Generalitat de Catalunya, la Junta de Andalucía y el IMIDRA.</w:t>
      </w:r>
    </w:p>
    <w:p w14:paraId="6EBDD9E5" w14:textId="77777777" w:rsidR="00356803" w:rsidRDefault="00356803" w:rsidP="005824C2">
      <w:pPr>
        <w:pBdr>
          <w:bottom w:val="single" w:sz="4" w:space="4" w:color="5A7A35"/>
        </w:pBdr>
        <w:spacing w:before="200" w:after="100"/>
        <w:jc w:val="both"/>
        <w:rPr>
          <w:rFonts w:cstheme="minorHAnsi"/>
          <w:lang w:val="es-ES"/>
        </w:rPr>
      </w:pPr>
      <w:r>
        <w:rPr>
          <w:rFonts w:cstheme="minorHAnsi"/>
          <w:lang w:val="es-ES"/>
        </w:rPr>
        <w:t xml:space="preserve">En el ámbito privado respaldan, por ahora, esta segunda edición, además de </w:t>
      </w:r>
      <w:r w:rsidRPr="00273638">
        <w:rPr>
          <w:rFonts w:cstheme="minorHAnsi"/>
          <w:b/>
          <w:bCs/>
          <w:lang w:val="es-ES"/>
        </w:rPr>
        <w:t>Olivum</w:t>
      </w:r>
      <w:r>
        <w:rPr>
          <w:rFonts w:cstheme="minorHAnsi"/>
          <w:lang w:val="es-ES"/>
        </w:rPr>
        <w:t xml:space="preserve">, entidades como </w:t>
      </w:r>
      <w:r w:rsidRPr="00273638">
        <w:rPr>
          <w:rFonts w:cstheme="minorHAnsi"/>
          <w:b/>
          <w:bCs/>
          <w:lang w:val="es-ES"/>
        </w:rPr>
        <w:t>AgroBank, BPI de Grupo Caixabank, la Interprofesional del Aceite de Oliva Español, GEA Group, Novonesis-Univar Solutions, APOAC (Associação para a Promoção do Olival e Azeite de Aire e Candeeiros) con su marca comercial ‘Olivedos do Carso’, Adsaica (Associação de Desenvolvimento das Serras de Aire e Candeeiros), Feria de Zaragoza (ENOMAQ), Kubota, Dazeite y Siliker.</w:t>
      </w:r>
    </w:p>
    <w:p w14:paraId="7A330FA8" w14:textId="77777777" w:rsidR="00F37A17" w:rsidRPr="00FF2D3E" w:rsidRDefault="00356803" w:rsidP="00F37A17">
      <w:pPr>
        <w:pBdr>
          <w:bottom w:val="single" w:sz="4" w:space="4" w:color="5A7A35"/>
        </w:pBdr>
        <w:spacing w:before="200" w:after="100"/>
        <w:jc w:val="both"/>
        <w:rPr>
          <w:rFonts w:cstheme="minorHAnsi"/>
          <w:b/>
          <w:bCs/>
          <w:sz w:val="20"/>
          <w:szCs w:val="20"/>
        </w:rPr>
      </w:pPr>
      <w:r>
        <w:rPr>
          <w:rFonts w:cstheme="minorHAnsi"/>
          <w:b/>
          <w:bCs/>
          <w:sz w:val="20"/>
          <w:szCs w:val="20"/>
        </w:rPr>
        <w:t>Sobre el OOWC:</w:t>
      </w:r>
    </w:p>
    <w:p w14:paraId="3F7843E1" w14:textId="3F43BBE9" w:rsidR="00B52847" w:rsidRPr="00FF2D3E" w:rsidRDefault="00AC2C2F" w:rsidP="00AC2C2F">
      <w:pPr>
        <w:pBdr>
          <w:bottom w:val="single" w:sz="4" w:space="4" w:color="5A7A35"/>
        </w:pBdr>
        <w:spacing w:before="200" w:after="100"/>
        <w:jc w:val="both"/>
        <w:rPr>
          <w:sz w:val="20"/>
          <w:szCs w:val="20"/>
        </w:rPr>
      </w:pPr>
      <w:r>
        <w:rPr>
          <w:rFonts w:eastAsia="Times New Roman" w:cstheme="minorHAnsi"/>
          <w:color w:val="333333"/>
          <w:sz w:val="20"/>
          <w:szCs w:val="20"/>
          <w:lang w:eastAsia="es-ES_tradnl"/>
        </w:rPr>
        <w:t>El </w:t>
      </w:r>
      <w:r>
        <w:rPr>
          <w:rFonts w:eastAsia="Times New Roman" w:cstheme="minorHAnsi"/>
          <w:b/>
          <w:bCs/>
          <w:color w:val="333333"/>
          <w:sz w:val="20"/>
          <w:szCs w:val="20"/>
          <w:lang w:eastAsia="es-ES_tradnl"/>
        </w:rPr>
        <w:t>Congreso Mundial del Aceite de Oliva</w:t>
      </w:r>
      <w:r>
        <w:rPr>
          <w:rFonts w:eastAsia="Times New Roman" w:cstheme="minorHAnsi"/>
          <w:color w:val="333333"/>
          <w:sz w:val="20"/>
          <w:szCs w:val="20"/>
          <w:lang w:eastAsia="es-ES_tradnl"/>
        </w:rPr>
        <w:t xml:space="preserve"> es un foro bienal que reúne a los principales expertos mundiales en cada materia, generando conocimiento e impulsando la innovación en todos los eslabones de la cadena de valor del aceite de oliva. Su segunda edición, celebrada en Lisboa en julio de 2026, ha consolidado el OOWC como el principal punto de encuentro del sector oleícola a escala global. </w:t>
      </w:r>
      <w:r>
        <w:rPr>
          <w:sz w:val="20"/>
          <w:szCs w:val="20"/>
        </w:rPr>
        <w:t xml:space="preserve">Más información en: </w:t>
      </w:r>
      <w:hyperlink r:id="rId7" w:history="1">
        <w:r>
          <w:rPr>
            <w:rStyle w:val="Hipervnculo"/>
            <w:sz w:val="20"/>
            <w:szCs w:val="20"/>
          </w:rPr>
          <w:t>www.oliveoilworldcongress.com</w:t>
        </w:r>
      </w:hyperlink>
      <w:r>
        <w:rPr>
          <w:sz w:val="20"/>
          <w:szCs w:val="20"/>
        </w:rPr>
        <w:t>.</w:t>
      </w:r>
    </w:p>
    <w:sectPr w:rsidR="00B52847" w:rsidRPr="00FF2D3E" w:rsidSect="00483975">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D9131" w14:textId="77777777" w:rsidR="00660EFE" w:rsidRDefault="00660EFE" w:rsidP="00E83E50">
      <w:pPr>
        <w:spacing w:after="0" w:line="240" w:lineRule="auto"/>
      </w:pPr>
      <w:r>
        <w:separator/>
      </w:r>
    </w:p>
  </w:endnote>
  <w:endnote w:type="continuationSeparator" w:id="0">
    <w:p w14:paraId="62AF050A" w14:textId="77777777" w:rsidR="00660EFE" w:rsidRDefault="00660EFE" w:rsidP="00E83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A08A" w14:textId="77777777" w:rsidR="0069392A" w:rsidRDefault="0087784B">
    <w:pPr>
      <w:pStyle w:val="Piedepgina"/>
    </w:pPr>
    <w:r w:rsidRPr="00EF4CF9">
      <w:rPr>
        <w:noProof/>
        <w:sz w:val="18"/>
        <w:szCs w:val="18"/>
        <w:lang w:val="es-ES" w:eastAsia="es-ES"/>
      </w:rPr>
      <w:drawing>
        <wp:anchor distT="0" distB="0" distL="114300" distR="114300" simplePos="0" relativeHeight="251659264" behindDoc="0" locked="0" layoutInCell="1" allowOverlap="1" wp14:anchorId="29AA2D09" wp14:editId="008E6C91">
          <wp:simplePos x="0" y="0"/>
          <wp:positionH relativeFrom="margin">
            <wp:posOffset>-657860</wp:posOffset>
          </wp:positionH>
          <wp:positionV relativeFrom="margin">
            <wp:posOffset>7716578</wp:posOffset>
          </wp:positionV>
          <wp:extent cx="1000760" cy="541655"/>
          <wp:effectExtent l="0" t="0" r="0" b="0"/>
          <wp:wrapSquare wrapText="bothSides"/>
          <wp:docPr id="6" name="Imagen 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0760" cy="541655"/>
                  </a:xfrm>
                  <a:prstGeom prst="rect">
                    <a:avLst/>
                  </a:prstGeom>
                </pic:spPr>
              </pic:pic>
            </a:graphicData>
          </a:graphic>
        </wp:anchor>
      </w:drawing>
    </w:r>
  </w:p>
  <w:p w14:paraId="1EAC9EC2" w14:textId="0037249A" w:rsidR="0069392A" w:rsidRPr="002B29C3" w:rsidRDefault="0087784B" w:rsidP="0087784B">
    <w:pPr>
      <w:jc w:val="center"/>
      <w:rPr>
        <w:lang w:val="es-ES"/>
      </w:rPr>
    </w:pPr>
    <w:r w:rsidRPr="00B424A0">
      <w:rPr>
        <w:b/>
        <w:bCs/>
        <w:noProof/>
        <w:sz w:val="18"/>
        <w:szCs w:val="18"/>
        <w:lang w:val="es-ES" w:eastAsia="es-ES"/>
      </w:rPr>
      <w:drawing>
        <wp:anchor distT="0" distB="0" distL="114300" distR="114300" simplePos="0" relativeHeight="251664384" behindDoc="0" locked="0" layoutInCell="1" allowOverlap="1" wp14:anchorId="72E7B64A" wp14:editId="3E4916E4">
          <wp:simplePos x="0" y="0"/>
          <wp:positionH relativeFrom="margin">
            <wp:posOffset>5036127</wp:posOffset>
          </wp:positionH>
          <wp:positionV relativeFrom="margin">
            <wp:posOffset>7761085</wp:posOffset>
          </wp:positionV>
          <wp:extent cx="1000760" cy="541655"/>
          <wp:effectExtent l="0" t="0" r="0" b="0"/>
          <wp:wrapSquare wrapText="bothSides"/>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0760" cy="541655"/>
                  </a:xfrm>
                  <a:prstGeom prst="rect">
                    <a:avLst/>
                  </a:prstGeom>
                </pic:spPr>
              </pic:pic>
            </a:graphicData>
          </a:graphic>
        </wp:anchor>
      </w:drawing>
    </w:r>
    <w:r w:rsidRPr="00B424A0">
      <w:rPr>
        <w:b/>
        <w:bCs/>
        <w:noProof/>
        <w:sz w:val="18"/>
        <w:szCs w:val="18"/>
        <w:lang w:val="es-ES" w:eastAsia="es-ES"/>
      </w:rPr>
      <w:drawing>
        <wp:anchor distT="0" distB="0" distL="114300" distR="114300" simplePos="0" relativeHeight="251662336" behindDoc="0" locked="0" layoutInCell="1" allowOverlap="1" wp14:anchorId="14FFFE53" wp14:editId="3BCC734B">
          <wp:simplePos x="0" y="0"/>
          <wp:positionH relativeFrom="margin">
            <wp:posOffset>5189220</wp:posOffset>
          </wp:positionH>
          <wp:positionV relativeFrom="margin">
            <wp:posOffset>8891270</wp:posOffset>
          </wp:positionV>
          <wp:extent cx="1000760" cy="541655"/>
          <wp:effectExtent l="0" t="0" r="0" b="0"/>
          <wp:wrapSquare wrapText="bothSides"/>
          <wp:docPr id="4" name="Imagen 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0760" cy="541655"/>
                  </a:xfrm>
                  <a:prstGeom prst="rect">
                    <a:avLst/>
                  </a:prstGeom>
                </pic:spPr>
              </pic:pic>
            </a:graphicData>
          </a:graphic>
        </wp:anchor>
      </w:drawing>
    </w:r>
    <w:r w:rsidRPr="00B424A0">
      <w:rPr>
        <w:b/>
        <w:bCs/>
        <w:noProof/>
        <w:sz w:val="18"/>
        <w:szCs w:val="18"/>
        <w:lang w:val="es-ES" w:eastAsia="es-ES"/>
      </w:rPr>
      <w:drawing>
        <wp:anchor distT="0" distB="0" distL="114300" distR="114300" simplePos="0" relativeHeight="251661312" behindDoc="0" locked="0" layoutInCell="1" allowOverlap="1" wp14:anchorId="2D6FE67B" wp14:editId="38E9B52E">
          <wp:simplePos x="0" y="0"/>
          <wp:positionH relativeFrom="margin">
            <wp:posOffset>-556260</wp:posOffset>
          </wp:positionH>
          <wp:positionV relativeFrom="margin">
            <wp:posOffset>8891270</wp:posOffset>
          </wp:positionV>
          <wp:extent cx="1000760" cy="541655"/>
          <wp:effectExtent l="0" t="0" r="0" b="0"/>
          <wp:wrapSquare wrapText="bothSides"/>
          <wp:docPr id="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0760" cy="541655"/>
                  </a:xfrm>
                  <a:prstGeom prst="rect">
                    <a:avLst/>
                  </a:prstGeom>
                </pic:spPr>
              </pic:pic>
            </a:graphicData>
          </a:graphic>
        </wp:anchor>
      </w:drawing>
    </w:r>
    <w:r w:rsidR="00356803" w:rsidRPr="00B424A0">
      <w:rPr>
        <w:b/>
        <w:bCs/>
        <w:noProof/>
        <w:sz w:val="18"/>
        <w:szCs w:val="18"/>
        <w:lang w:val="es-ES" w:eastAsia="es-ES"/>
      </w:rPr>
      <w:t>Departamento de Prensa</w:t>
    </w:r>
    <w:r w:rsidR="00846C08" w:rsidRPr="002B29C3">
      <w:rPr>
        <w:rFonts w:ascii="Calibri" w:eastAsia="Calibri" w:hAnsi="Calibri" w:cs="Calibri"/>
        <w:b/>
        <w:bCs/>
        <w:kern w:val="36"/>
        <w:sz w:val="20"/>
        <w:szCs w:val="20"/>
        <w:lang w:val="es-ES" w:eastAsia="es-ES_tradnl"/>
      </w:rPr>
      <w:t xml:space="preserve"> del Olive Oil World Congress</w:t>
    </w:r>
    <w:r w:rsidRPr="002B29C3">
      <w:rPr>
        <w:rFonts w:ascii="Calibri" w:eastAsia="Calibri" w:hAnsi="Calibri" w:cs="Calibri"/>
        <w:bCs/>
        <w:kern w:val="36"/>
        <w:sz w:val="20"/>
        <w:szCs w:val="20"/>
        <w:lang w:val="es-ES" w:eastAsia="es-ES_tradnl"/>
      </w:rPr>
      <w:t xml:space="preserve">- 917217929 </w:t>
    </w:r>
    <w:hyperlink r:id="rId2" w:history="1">
      <w:r w:rsidRPr="002B29C3">
        <w:rPr>
          <w:rFonts w:ascii="Calibri" w:eastAsia="Calibri" w:hAnsi="Calibri" w:cs="Calibri"/>
          <w:b/>
          <w:bCs/>
          <w:color w:val="0000FF"/>
          <w:kern w:val="36"/>
          <w:sz w:val="20"/>
          <w:szCs w:val="20"/>
          <w:u w:val="single"/>
          <w:lang w:val="es-ES" w:eastAsia="es-ES_tradnl"/>
        </w:rPr>
        <w:t>info@oliveoilwc.com</w:t>
      </w:r>
    </w:hyperlink>
    <w:hyperlink r:id="rId3" w:history="1">
      <w:r w:rsidRPr="00356803">
        <w:rPr>
          <w:color w:val="0000FF"/>
          <w:sz w:val="20"/>
          <w:szCs w:val="20"/>
          <w:u w:val="single"/>
          <w:lang w:val="es-ES"/>
        </w:rPr>
        <w:t>www.oliveoilworldcongress.com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C0D1A" w14:textId="77777777" w:rsidR="00660EFE" w:rsidRDefault="00660EFE" w:rsidP="00E83E50">
      <w:pPr>
        <w:spacing w:after="0" w:line="240" w:lineRule="auto"/>
      </w:pPr>
      <w:r>
        <w:separator/>
      </w:r>
    </w:p>
  </w:footnote>
  <w:footnote w:type="continuationSeparator" w:id="0">
    <w:p w14:paraId="57C8E30A" w14:textId="77777777" w:rsidR="00660EFE" w:rsidRDefault="00660EFE" w:rsidP="00E83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EDAC" w14:textId="77777777" w:rsidR="00E83E50" w:rsidRDefault="00E83E50" w:rsidP="00E83E50">
    <w:pPr>
      <w:pStyle w:val="Encabezado"/>
      <w:jc w:val="center"/>
    </w:pPr>
    <w:r>
      <w:rPr>
        <w:noProof/>
        <w:lang w:val="es-ES" w:eastAsia="es-ES"/>
      </w:rPr>
      <w:drawing>
        <wp:inline distT="0" distB="0" distL="0" distR="0" wp14:anchorId="5B578286" wp14:editId="47372599">
          <wp:extent cx="2702560" cy="1463463"/>
          <wp:effectExtent l="0" t="0" r="2540" b="3810"/>
          <wp:docPr id="5"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709938" cy="1467458"/>
                  </a:xfrm>
                  <a:prstGeom prst="rect">
                    <a:avLst/>
                  </a:prstGeom>
                </pic:spPr>
              </pic:pic>
            </a:graphicData>
          </a:graphic>
        </wp:inline>
      </w:drawing>
    </w:r>
  </w:p>
  <w:p w14:paraId="69C8B221" w14:textId="77777777" w:rsidR="00E83E50" w:rsidRDefault="00E83E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410A"/>
    <w:multiLevelType w:val="multilevel"/>
    <w:tmpl w:val="A878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74726"/>
    <w:multiLevelType w:val="hybridMultilevel"/>
    <w:tmpl w:val="FB70B8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76E1F0F"/>
    <w:multiLevelType w:val="multilevel"/>
    <w:tmpl w:val="4E4C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FC10BC"/>
    <w:multiLevelType w:val="hybridMultilevel"/>
    <w:tmpl w:val="392CA3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4C57CF"/>
    <w:multiLevelType w:val="hybridMultilevel"/>
    <w:tmpl w:val="C18A6DB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CE41E75"/>
    <w:multiLevelType w:val="hybridMultilevel"/>
    <w:tmpl w:val="4246F0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30B22EA"/>
    <w:multiLevelType w:val="hybridMultilevel"/>
    <w:tmpl w:val="EADEC82E"/>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38397D"/>
    <w:multiLevelType w:val="hybridMultilevel"/>
    <w:tmpl w:val="FF2034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E98439F"/>
    <w:multiLevelType w:val="hybridMultilevel"/>
    <w:tmpl w:val="D91497D4"/>
    <w:lvl w:ilvl="0" w:tplc="C0C01CA8">
      <w:start w:val="1"/>
      <w:numFmt w:val="bullet"/>
      <w:lvlText w:val="•"/>
      <w:lvlJc w:val="left"/>
      <w:pPr>
        <w:ind w:left="720" w:hanging="360"/>
      </w:pPr>
    </w:lvl>
    <w:lvl w:ilvl="1" w:tplc="A4062046">
      <w:numFmt w:val="decimal"/>
      <w:lvlText w:val=""/>
      <w:lvlJc w:val="left"/>
      <w:pPr>
        <w:ind w:left="0" w:firstLine="0"/>
      </w:pPr>
    </w:lvl>
    <w:lvl w:ilvl="2" w:tplc="A2B234C2">
      <w:numFmt w:val="decimal"/>
      <w:lvlText w:val=""/>
      <w:lvlJc w:val="left"/>
      <w:pPr>
        <w:ind w:left="0" w:firstLine="0"/>
      </w:pPr>
    </w:lvl>
    <w:lvl w:ilvl="3" w:tplc="4B7EA214">
      <w:numFmt w:val="decimal"/>
      <w:lvlText w:val=""/>
      <w:lvlJc w:val="left"/>
      <w:pPr>
        <w:ind w:left="0" w:firstLine="0"/>
      </w:pPr>
    </w:lvl>
    <w:lvl w:ilvl="4" w:tplc="54FE1660">
      <w:numFmt w:val="decimal"/>
      <w:lvlText w:val=""/>
      <w:lvlJc w:val="left"/>
      <w:pPr>
        <w:ind w:left="0" w:firstLine="0"/>
      </w:pPr>
    </w:lvl>
    <w:lvl w:ilvl="5" w:tplc="B082224A">
      <w:numFmt w:val="decimal"/>
      <w:lvlText w:val=""/>
      <w:lvlJc w:val="left"/>
      <w:pPr>
        <w:ind w:left="0" w:firstLine="0"/>
      </w:pPr>
    </w:lvl>
    <w:lvl w:ilvl="6" w:tplc="C65E75DE">
      <w:numFmt w:val="decimal"/>
      <w:lvlText w:val=""/>
      <w:lvlJc w:val="left"/>
      <w:pPr>
        <w:ind w:left="0" w:firstLine="0"/>
      </w:pPr>
    </w:lvl>
    <w:lvl w:ilvl="7" w:tplc="4484DAC2">
      <w:numFmt w:val="decimal"/>
      <w:lvlText w:val=""/>
      <w:lvlJc w:val="left"/>
      <w:pPr>
        <w:ind w:left="0" w:firstLine="0"/>
      </w:pPr>
    </w:lvl>
    <w:lvl w:ilvl="8" w:tplc="EFB248E0">
      <w:numFmt w:val="decimal"/>
      <w:lvlText w:val=""/>
      <w:lvlJc w:val="left"/>
      <w:pPr>
        <w:ind w:left="0" w:firstLine="0"/>
      </w:pPr>
    </w:lvl>
  </w:abstractNum>
  <w:abstractNum w:abstractNumId="9" w15:restartNumberingAfterBreak="0">
    <w:nsid w:val="358C0406"/>
    <w:multiLevelType w:val="hybridMultilevel"/>
    <w:tmpl w:val="E5AA5C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90944A8"/>
    <w:multiLevelType w:val="hybridMultilevel"/>
    <w:tmpl w:val="103AC052"/>
    <w:lvl w:ilvl="0" w:tplc="012895E6">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1D95594"/>
    <w:multiLevelType w:val="hybridMultilevel"/>
    <w:tmpl w:val="CE8AFBDE"/>
    <w:lvl w:ilvl="0" w:tplc="012895E6">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667237"/>
    <w:multiLevelType w:val="hybridMultilevel"/>
    <w:tmpl w:val="9CECAC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6A57C09"/>
    <w:multiLevelType w:val="hybridMultilevel"/>
    <w:tmpl w:val="7CE26B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A124E67"/>
    <w:multiLevelType w:val="hybridMultilevel"/>
    <w:tmpl w:val="017A0C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CE6644B"/>
    <w:multiLevelType w:val="multilevel"/>
    <w:tmpl w:val="9A149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4D2A94"/>
    <w:multiLevelType w:val="hybridMultilevel"/>
    <w:tmpl w:val="3EB4DF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4143F6B"/>
    <w:multiLevelType w:val="hybridMultilevel"/>
    <w:tmpl w:val="33DCF1E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574961E9"/>
    <w:multiLevelType w:val="multilevel"/>
    <w:tmpl w:val="009A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0D5087"/>
    <w:multiLevelType w:val="hybridMultilevel"/>
    <w:tmpl w:val="A3F6C1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C0C0DFB"/>
    <w:multiLevelType w:val="hybridMultilevel"/>
    <w:tmpl w:val="725250D0"/>
    <w:lvl w:ilvl="0" w:tplc="C9F8D76C">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1BD589A"/>
    <w:multiLevelType w:val="hybridMultilevel"/>
    <w:tmpl w:val="A66ABD5A"/>
    <w:lvl w:ilvl="0" w:tplc="FFFFFFFF">
      <w:start w:val="1"/>
      <w:numFmt w:val="bullet"/>
      <w:lvlText w:val="•"/>
      <w:lvlJc w:val="left"/>
    </w:lvl>
    <w:lvl w:ilvl="1" w:tplc="012895E6">
      <w:numFmt w:val="bullet"/>
      <w:lvlText w:val="-"/>
      <w:lvlJc w:val="left"/>
      <w:pPr>
        <w:ind w:left="360" w:hanging="360"/>
      </w:pPr>
      <w:rPr>
        <w:rFonts w:ascii="Calibri" w:eastAsia="Times New Roman" w:hAnsi="Calibri"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5BE06C1"/>
    <w:multiLevelType w:val="hybridMultilevel"/>
    <w:tmpl w:val="7A4C37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83A4D82"/>
    <w:multiLevelType w:val="hybridMultilevel"/>
    <w:tmpl w:val="981AC906"/>
    <w:lvl w:ilvl="0" w:tplc="5F6C08D0">
      <w:start w:val="1"/>
      <w:numFmt w:val="bullet"/>
      <w:lvlText w:val="–"/>
      <w:lvlJc w:val="left"/>
      <w:pPr>
        <w:ind w:left="540" w:hanging="360"/>
      </w:pPr>
    </w:lvl>
    <w:lvl w:ilvl="1" w:tplc="91D04A4A">
      <w:numFmt w:val="decimal"/>
      <w:lvlText w:val=""/>
      <w:lvlJc w:val="left"/>
    </w:lvl>
    <w:lvl w:ilvl="2" w:tplc="81D0AE26">
      <w:numFmt w:val="decimal"/>
      <w:lvlText w:val=""/>
      <w:lvlJc w:val="left"/>
    </w:lvl>
    <w:lvl w:ilvl="3" w:tplc="7C147E10">
      <w:numFmt w:val="decimal"/>
      <w:lvlText w:val=""/>
      <w:lvlJc w:val="left"/>
    </w:lvl>
    <w:lvl w:ilvl="4" w:tplc="ACB2DF1A">
      <w:numFmt w:val="decimal"/>
      <w:lvlText w:val=""/>
      <w:lvlJc w:val="left"/>
    </w:lvl>
    <w:lvl w:ilvl="5" w:tplc="74C0461A">
      <w:numFmt w:val="decimal"/>
      <w:lvlText w:val=""/>
      <w:lvlJc w:val="left"/>
    </w:lvl>
    <w:lvl w:ilvl="6" w:tplc="AF861A0A">
      <w:numFmt w:val="decimal"/>
      <w:lvlText w:val=""/>
      <w:lvlJc w:val="left"/>
    </w:lvl>
    <w:lvl w:ilvl="7" w:tplc="4036C434">
      <w:numFmt w:val="decimal"/>
      <w:lvlText w:val=""/>
      <w:lvlJc w:val="left"/>
    </w:lvl>
    <w:lvl w:ilvl="8" w:tplc="B8D8E3E4">
      <w:numFmt w:val="decimal"/>
      <w:lvlText w:val=""/>
      <w:lvlJc w:val="left"/>
    </w:lvl>
  </w:abstractNum>
  <w:abstractNum w:abstractNumId="24" w15:restartNumberingAfterBreak="0">
    <w:nsid w:val="6CFC3CAF"/>
    <w:multiLevelType w:val="hybridMultilevel"/>
    <w:tmpl w:val="7398F9A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6FB71CE3"/>
    <w:multiLevelType w:val="hybridMultilevel"/>
    <w:tmpl w:val="BF7217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4787627">
    <w:abstractNumId w:val="0"/>
  </w:num>
  <w:num w:numId="2" w16cid:durableId="659621333">
    <w:abstractNumId w:val="2"/>
  </w:num>
  <w:num w:numId="3" w16cid:durableId="1969700709">
    <w:abstractNumId w:val="21"/>
  </w:num>
  <w:num w:numId="4" w16cid:durableId="1498884455">
    <w:abstractNumId w:val="10"/>
  </w:num>
  <w:num w:numId="5" w16cid:durableId="789010196">
    <w:abstractNumId w:val="11"/>
  </w:num>
  <w:num w:numId="6" w16cid:durableId="2048211719">
    <w:abstractNumId w:val="16"/>
  </w:num>
  <w:num w:numId="7" w16cid:durableId="17004389">
    <w:abstractNumId w:val="20"/>
  </w:num>
  <w:num w:numId="8" w16cid:durableId="1185048144">
    <w:abstractNumId w:val="19"/>
  </w:num>
  <w:num w:numId="9" w16cid:durableId="1701974279">
    <w:abstractNumId w:val="1"/>
  </w:num>
  <w:num w:numId="10" w16cid:durableId="675353104">
    <w:abstractNumId w:val="12"/>
  </w:num>
  <w:num w:numId="11" w16cid:durableId="333730092">
    <w:abstractNumId w:val="9"/>
  </w:num>
  <w:num w:numId="12" w16cid:durableId="1908763766">
    <w:abstractNumId w:val="17"/>
  </w:num>
  <w:num w:numId="13" w16cid:durableId="1348365966">
    <w:abstractNumId w:val="24"/>
  </w:num>
  <w:num w:numId="14" w16cid:durableId="683701599">
    <w:abstractNumId w:val="4"/>
  </w:num>
  <w:num w:numId="15" w16cid:durableId="1622497443">
    <w:abstractNumId w:val="25"/>
  </w:num>
  <w:num w:numId="16" w16cid:durableId="453209343">
    <w:abstractNumId w:val="7"/>
  </w:num>
  <w:num w:numId="17" w16cid:durableId="1589076762">
    <w:abstractNumId w:val="15"/>
  </w:num>
  <w:num w:numId="18" w16cid:durableId="77404732">
    <w:abstractNumId w:val="23"/>
    <w:lvlOverride w:ilvl="0">
      <w:startOverride w:val="1"/>
    </w:lvlOverride>
  </w:num>
  <w:num w:numId="19" w16cid:durableId="2068410316">
    <w:abstractNumId w:val="13"/>
  </w:num>
  <w:num w:numId="20" w16cid:durableId="689646623">
    <w:abstractNumId w:val="8"/>
  </w:num>
  <w:num w:numId="21" w16cid:durableId="229656014">
    <w:abstractNumId w:val="8"/>
  </w:num>
  <w:num w:numId="22" w16cid:durableId="16734369">
    <w:abstractNumId w:val="18"/>
  </w:num>
  <w:num w:numId="23" w16cid:durableId="156119945">
    <w:abstractNumId w:val="5"/>
  </w:num>
  <w:num w:numId="24" w16cid:durableId="1309362192">
    <w:abstractNumId w:val="3"/>
  </w:num>
  <w:num w:numId="25" w16cid:durableId="513224276">
    <w:abstractNumId w:val="14"/>
  </w:num>
  <w:num w:numId="26" w16cid:durableId="1527210035">
    <w:abstractNumId w:val="22"/>
  </w:num>
  <w:num w:numId="27" w16cid:durableId="4995478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542"/>
    <w:rsid w:val="00000BAD"/>
    <w:rsid w:val="00005EB0"/>
    <w:rsid w:val="00006A78"/>
    <w:rsid w:val="000132DE"/>
    <w:rsid w:val="00013B8C"/>
    <w:rsid w:val="00014AFE"/>
    <w:rsid w:val="00015C53"/>
    <w:rsid w:val="0002057D"/>
    <w:rsid w:val="0002287D"/>
    <w:rsid w:val="00031325"/>
    <w:rsid w:val="0003212E"/>
    <w:rsid w:val="00041056"/>
    <w:rsid w:val="0004236C"/>
    <w:rsid w:val="00042380"/>
    <w:rsid w:val="000441A9"/>
    <w:rsid w:val="00051A4C"/>
    <w:rsid w:val="000529D1"/>
    <w:rsid w:val="00052BD8"/>
    <w:rsid w:val="00053227"/>
    <w:rsid w:val="000534F5"/>
    <w:rsid w:val="0006277D"/>
    <w:rsid w:val="00065D16"/>
    <w:rsid w:val="00067262"/>
    <w:rsid w:val="00070321"/>
    <w:rsid w:val="0007450C"/>
    <w:rsid w:val="00075058"/>
    <w:rsid w:val="00075CB9"/>
    <w:rsid w:val="000761AD"/>
    <w:rsid w:val="000774C6"/>
    <w:rsid w:val="0008062E"/>
    <w:rsid w:val="00082A96"/>
    <w:rsid w:val="0008404D"/>
    <w:rsid w:val="000871F5"/>
    <w:rsid w:val="000900C2"/>
    <w:rsid w:val="00090C56"/>
    <w:rsid w:val="00091EF8"/>
    <w:rsid w:val="00093D24"/>
    <w:rsid w:val="000943DF"/>
    <w:rsid w:val="00094D3B"/>
    <w:rsid w:val="000A1A75"/>
    <w:rsid w:val="000A1B49"/>
    <w:rsid w:val="000A42CC"/>
    <w:rsid w:val="000B071B"/>
    <w:rsid w:val="000B3546"/>
    <w:rsid w:val="000B36D6"/>
    <w:rsid w:val="000B4B9A"/>
    <w:rsid w:val="000B6521"/>
    <w:rsid w:val="000C0D5A"/>
    <w:rsid w:val="000C42D3"/>
    <w:rsid w:val="000C53C6"/>
    <w:rsid w:val="000D0FA0"/>
    <w:rsid w:val="000E3BE4"/>
    <w:rsid w:val="000E41CC"/>
    <w:rsid w:val="000E7AFE"/>
    <w:rsid w:val="000F09C1"/>
    <w:rsid w:val="000F3436"/>
    <w:rsid w:val="000F4826"/>
    <w:rsid w:val="000F57EC"/>
    <w:rsid w:val="00100A72"/>
    <w:rsid w:val="00102B40"/>
    <w:rsid w:val="00116E6A"/>
    <w:rsid w:val="00117186"/>
    <w:rsid w:val="0012136E"/>
    <w:rsid w:val="001259C4"/>
    <w:rsid w:val="00127A74"/>
    <w:rsid w:val="00131EF2"/>
    <w:rsid w:val="00132F86"/>
    <w:rsid w:val="00147A26"/>
    <w:rsid w:val="00161330"/>
    <w:rsid w:val="00161DB7"/>
    <w:rsid w:val="0016297D"/>
    <w:rsid w:val="001642AB"/>
    <w:rsid w:val="001679A1"/>
    <w:rsid w:val="001730F9"/>
    <w:rsid w:val="00183454"/>
    <w:rsid w:val="0019401B"/>
    <w:rsid w:val="001A0B0B"/>
    <w:rsid w:val="001B0B6C"/>
    <w:rsid w:val="001B1596"/>
    <w:rsid w:val="001B1B4B"/>
    <w:rsid w:val="001B3265"/>
    <w:rsid w:val="001B33CD"/>
    <w:rsid w:val="001D6000"/>
    <w:rsid w:val="001D7236"/>
    <w:rsid w:val="001D783B"/>
    <w:rsid w:val="001D7C94"/>
    <w:rsid w:val="001E2C05"/>
    <w:rsid w:val="001E5941"/>
    <w:rsid w:val="001E744E"/>
    <w:rsid w:val="001F07C9"/>
    <w:rsid w:val="001F46B5"/>
    <w:rsid w:val="001F5128"/>
    <w:rsid w:val="00204504"/>
    <w:rsid w:val="00205295"/>
    <w:rsid w:val="00205D92"/>
    <w:rsid w:val="00207889"/>
    <w:rsid w:val="00210FF9"/>
    <w:rsid w:val="002125B4"/>
    <w:rsid w:val="00212BA6"/>
    <w:rsid w:val="002132C7"/>
    <w:rsid w:val="00223FEF"/>
    <w:rsid w:val="00226D13"/>
    <w:rsid w:val="00227A25"/>
    <w:rsid w:val="00236CFD"/>
    <w:rsid w:val="002371BB"/>
    <w:rsid w:val="00237D0F"/>
    <w:rsid w:val="002435E0"/>
    <w:rsid w:val="002442D0"/>
    <w:rsid w:val="00244631"/>
    <w:rsid w:val="0025154F"/>
    <w:rsid w:val="002519EF"/>
    <w:rsid w:val="00252B17"/>
    <w:rsid w:val="00256411"/>
    <w:rsid w:val="002671C3"/>
    <w:rsid w:val="0026779E"/>
    <w:rsid w:val="00271D80"/>
    <w:rsid w:val="00273638"/>
    <w:rsid w:val="002737F7"/>
    <w:rsid w:val="002743A6"/>
    <w:rsid w:val="00274C6B"/>
    <w:rsid w:val="00275C63"/>
    <w:rsid w:val="002779EA"/>
    <w:rsid w:val="00280EC9"/>
    <w:rsid w:val="00283D1F"/>
    <w:rsid w:val="00284AE7"/>
    <w:rsid w:val="00286536"/>
    <w:rsid w:val="002871CA"/>
    <w:rsid w:val="00287D4E"/>
    <w:rsid w:val="00290877"/>
    <w:rsid w:val="00291EC9"/>
    <w:rsid w:val="002929CC"/>
    <w:rsid w:val="00295AE6"/>
    <w:rsid w:val="002A262E"/>
    <w:rsid w:val="002A3B90"/>
    <w:rsid w:val="002A4A0F"/>
    <w:rsid w:val="002B1B7B"/>
    <w:rsid w:val="002B29C3"/>
    <w:rsid w:val="002C48D2"/>
    <w:rsid w:val="002D0649"/>
    <w:rsid w:val="002D6E39"/>
    <w:rsid w:val="002D70D6"/>
    <w:rsid w:val="002E20E5"/>
    <w:rsid w:val="002E324F"/>
    <w:rsid w:val="002E5B72"/>
    <w:rsid w:val="002E5D25"/>
    <w:rsid w:val="002E632C"/>
    <w:rsid w:val="002E6828"/>
    <w:rsid w:val="002F0ADC"/>
    <w:rsid w:val="002F3706"/>
    <w:rsid w:val="002F5898"/>
    <w:rsid w:val="002F7EE3"/>
    <w:rsid w:val="003005E9"/>
    <w:rsid w:val="003008D2"/>
    <w:rsid w:val="00305E84"/>
    <w:rsid w:val="003064DE"/>
    <w:rsid w:val="0030750C"/>
    <w:rsid w:val="00313A2B"/>
    <w:rsid w:val="00315CC5"/>
    <w:rsid w:val="00316E04"/>
    <w:rsid w:val="003172B0"/>
    <w:rsid w:val="003202A5"/>
    <w:rsid w:val="003215B7"/>
    <w:rsid w:val="00333DDF"/>
    <w:rsid w:val="003434A0"/>
    <w:rsid w:val="00344F43"/>
    <w:rsid w:val="00345950"/>
    <w:rsid w:val="00345BB3"/>
    <w:rsid w:val="00350FC1"/>
    <w:rsid w:val="003540CA"/>
    <w:rsid w:val="00354AB2"/>
    <w:rsid w:val="00356803"/>
    <w:rsid w:val="0035775C"/>
    <w:rsid w:val="00363EF3"/>
    <w:rsid w:val="00364427"/>
    <w:rsid w:val="00370E47"/>
    <w:rsid w:val="003735A8"/>
    <w:rsid w:val="00377E46"/>
    <w:rsid w:val="00387386"/>
    <w:rsid w:val="00394F40"/>
    <w:rsid w:val="00396DE6"/>
    <w:rsid w:val="0039736B"/>
    <w:rsid w:val="003A03B0"/>
    <w:rsid w:val="003A38A8"/>
    <w:rsid w:val="003A6A76"/>
    <w:rsid w:val="003A765F"/>
    <w:rsid w:val="003B02B8"/>
    <w:rsid w:val="003B3D1E"/>
    <w:rsid w:val="003B6F10"/>
    <w:rsid w:val="003B7B41"/>
    <w:rsid w:val="003C0EA8"/>
    <w:rsid w:val="003D2F63"/>
    <w:rsid w:val="003E0A54"/>
    <w:rsid w:val="003E4234"/>
    <w:rsid w:val="003F25EE"/>
    <w:rsid w:val="003F443E"/>
    <w:rsid w:val="003F59A0"/>
    <w:rsid w:val="003F704A"/>
    <w:rsid w:val="00405B8C"/>
    <w:rsid w:val="0041138A"/>
    <w:rsid w:val="00411789"/>
    <w:rsid w:val="00411BDD"/>
    <w:rsid w:val="00415C11"/>
    <w:rsid w:val="00420B50"/>
    <w:rsid w:val="00422D19"/>
    <w:rsid w:val="0042466C"/>
    <w:rsid w:val="00425133"/>
    <w:rsid w:val="00426B77"/>
    <w:rsid w:val="00426F64"/>
    <w:rsid w:val="00432F15"/>
    <w:rsid w:val="00434260"/>
    <w:rsid w:val="004378C3"/>
    <w:rsid w:val="00437902"/>
    <w:rsid w:val="004458EA"/>
    <w:rsid w:val="004466C2"/>
    <w:rsid w:val="0045314D"/>
    <w:rsid w:val="004568B3"/>
    <w:rsid w:val="00462EA9"/>
    <w:rsid w:val="00463065"/>
    <w:rsid w:val="00467D38"/>
    <w:rsid w:val="00471102"/>
    <w:rsid w:val="00472F9C"/>
    <w:rsid w:val="00482EA6"/>
    <w:rsid w:val="00483975"/>
    <w:rsid w:val="00484AF3"/>
    <w:rsid w:val="0048760E"/>
    <w:rsid w:val="00491164"/>
    <w:rsid w:val="004914EC"/>
    <w:rsid w:val="004931D0"/>
    <w:rsid w:val="0049355F"/>
    <w:rsid w:val="00496756"/>
    <w:rsid w:val="004A07FF"/>
    <w:rsid w:val="004A1E96"/>
    <w:rsid w:val="004A21F4"/>
    <w:rsid w:val="004A4821"/>
    <w:rsid w:val="004A5664"/>
    <w:rsid w:val="004A6319"/>
    <w:rsid w:val="004B2B82"/>
    <w:rsid w:val="004B2C57"/>
    <w:rsid w:val="004B314C"/>
    <w:rsid w:val="004B31BF"/>
    <w:rsid w:val="004B7854"/>
    <w:rsid w:val="004C2BDE"/>
    <w:rsid w:val="004D2EAA"/>
    <w:rsid w:val="004D5B22"/>
    <w:rsid w:val="004E198B"/>
    <w:rsid w:val="004E2AA9"/>
    <w:rsid w:val="004E4A2E"/>
    <w:rsid w:val="00501F4A"/>
    <w:rsid w:val="00502139"/>
    <w:rsid w:val="0050462B"/>
    <w:rsid w:val="00504C18"/>
    <w:rsid w:val="005057B4"/>
    <w:rsid w:val="005067A1"/>
    <w:rsid w:val="00510EDC"/>
    <w:rsid w:val="00511EB3"/>
    <w:rsid w:val="0051216C"/>
    <w:rsid w:val="00512F04"/>
    <w:rsid w:val="005149A6"/>
    <w:rsid w:val="00514CD1"/>
    <w:rsid w:val="00516074"/>
    <w:rsid w:val="00517286"/>
    <w:rsid w:val="005223EC"/>
    <w:rsid w:val="005312D1"/>
    <w:rsid w:val="00532670"/>
    <w:rsid w:val="00533C55"/>
    <w:rsid w:val="00537138"/>
    <w:rsid w:val="005401EA"/>
    <w:rsid w:val="00542BAB"/>
    <w:rsid w:val="005452A8"/>
    <w:rsid w:val="00551B2A"/>
    <w:rsid w:val="00554271"/>
    <w:rsid w:val="00555DA3"/>
    <w:rsid w:val="005651D7"/>
    <w:rsid w:val="005663AE"/>
    <w:rsid w:val="005707CC"/>
    <w:rsid w:val="0057346A"/>
    <w:rsid w:val="00574499"/>
    <w:rsid w:val="00574FC7"/>
    <w:rsid w:val="005824C2"/>
    <w:rsid w:val="00591AE9"/>
    <w:rsid w:val="00594212"/>
    <w:rsid w:val="005A3A9E"/>
    <w:rsid w:val="005A59B5"/>
    <w:rsid w:val="005A70A0"/>
    <w:rsid w:val="005C094B"/>
    <w:rsid w:val="005C1F82"/>
    <w:rsid w:val="005C2A1D"/>
    <w:rsid w:val="005C3CAF"/>
    <w:rsid w:val="005C71D1"/>
    <w:rsid w:val="005C76DD"/>
    <w:rsid w:val="005D73B9"/>
    <w:rsid w:val="005E17FC"/>
    <w:rsid w:val="005E5C63"/>
    <w:rsid w:val="005F0CC2"/>
    <w:rsid w:val="005F1564"/>
    <w:rsid w:val="005F75AD"/>
    <w:rsid w:val="00603D3A"/>
    <w:rsid w:val="00606125"/>
    <w:rsid w:val="0060638E"/>
    <w:rsid w:val="006078C8"/>
    <w:rsid w:val="00607930"/>
    <w:rsid w:val="00607FDC"/>
    <w:rsid w:val="0062037B"/>
    <w:rsid w:val="00620542"/>
    <w:rsid w:val="00620567"/>
    <w:rsid w:val="00630F01"/>
    <w:rsid w:val="006329F0"/>
    <w:rsid w:val="0063346A"/>
    <w:rsid w:val="0064253C"/>
    <w:rsid w:val="00643538"/>
    <w:rsid w:val="00644BCE"/>
    <w:rsid w:val="0064674C"/>
    <w:rsid w:val="006479E5"/>
    <w:rsid w:val="00647B3D"/>
    <w:rsid w:val="00651CC6"/>
    <w:rsid w:val="006531E2"/>
    <w:rsid w:val="00654018"/>
    <w:rsid w:val="00660EFE"/>
    <w:rsid w:val="0066163A"/>
    <w:rsid w:val="006735C1"/>
    <w:rsid w:val="00674675"/>
    <w:rsid w:val="00674EED"/>
    <w:rsid w:val="0067511F"/>
    <w:rsid w:val="006751D5"/>
    <w:rsid w:val="006756A8"/>
    <w:rsid w:val="00675A50"/>
    <w:rsid w:val="00682DD4"/>
    <w:rsid w:val="00683315"/>
    <w:rsid w:val="006844FB"/>
    <w:rsid w:val="00687654"/>
    <w:rsid w:val="0069392A"/>
    <w:rsid w:val="00693F02"/>
    <w:rsid w:val="006957E2"/>
    <w:rsid w:val="00695914"/>
    <w:rsid w:val="006A0EEE"/>
    <w:rsid w:val="006A2274"/>
    <w:rsid w:val="006A2A31"/>
    <w:rsid w:val="006A7C6C"/>
    <w:rsid w:val="006B1AA6"/>
    <w:rsid w:val="006B33B3"/>
    <w:rsid w:val="006C2B9C"/>
    <w:rsid w:val="006C4211"/>
    <w:rsid w:val="006C563D"/>
    <w:rsid w:val="006D022D"/>
    <w:rsid w:val="006D54C3"/>
    <w:rsid w:val="006D58F1"/>
    <w:rsid w:val="006E3BF7"/>
    <w:rsid w:val="006E6EC3"/>
    <w:rsid w:val="006F28FC"/>
    <w:rsid w:val="006F6175"/>
    <w:rsid w:val="00701ABA"/>
    <w:rsid w:val="00701C32"/>
    <w:rsid w:val="00702987"/>
    <w:rsid w:val="0070501E"/>
    <w:rsid w:val="00715978"/>
    <w:rsid w:val="0071737F"/>
    <w:rsid w:val="0072123A"/>
    <w:rsid w:val="00724669"/>
    <w:rsid w:val="00732634"/>
    <w:rsid w:val="00734AE0"/>
    <w:rsid w:val="00736951"/>
    <w:rsid w:val="00736E79"/>
    <w:rsid w:val="00736F81"/>
    <w:rsid w:val="00740509"/>
    <w:rsid w:val="007474C6"/>
    <w:rsid w:val="00752F2A"/>
    <w:rsid w:val="00761226"/>
    <w:rsid w:val="007618BE"/>
    <w:rsid w:val="0076579C"/>
    <w:rsid w:val="0076621A"/>
    <w:rsid w:val="00767194"/>
    <w:rsid w:val="00775ADD"/>
    <w:rsid w:val="00775F73"/>
    <w:rsid w:val="0077675C"/>
    <w:rsid w:val="00777B7E"/>
    <w:rsid w:val="00781D14"/>
    <w:rsid w:val="007826CC"/>
    <w:rsid w:val="00783FE9"/>
    <w:rsid w:val="00787BD1"/>
    <w:rsid w:val="00791465"/>
    <w:rsid w:val="00793036"/>
    <w:rsid w:val="007A602C"/>
    <w:rsid w:val="007A7469"/>
    <w:rsid w:val="007B254D"/>
    <w:rsid w:val="007B2969"/>
    <w:rsid w:val="007B3630"/>
    <w:rsid w:val="007C07E7"/>
    <w:rsid w:val="007C1AD5"/>
    <w:rsid w:val="007C2223"/>
    <w:rsid w:val="007D1095"/>
    <w:rsid w:val="007E125A"/>
    <w:rsid w:val="007E41C2"/>
    <w:rsid w:val="007E4942"/>
    <w:rsid w:val="007F2268"/>
    <w:rsid w:val="007F422E"/>
    <w:rsid w:val="007F5A6D"/>
    <w:rsid w:val="007F5C65"/>
    <w:rsid w:val="007F74AD"/>
    <w:rsid w:val="0080310A"/>
    <w:rsid w:val="00804C7B"/>
    <w:rsid w:val="00812019"/>
    <w:rsid w:val="00813079"/>
    <w:rsid w:val="008142BE"/>
    <w:rsid w:val="008222B4"/>
    <w:rsid w:val="00822694"/>
    <w:rsid w:val="00822B06"/>
    <w:rsid w:val="00822F4D"/>
    <w:rsid w:val="00827249"/>
    <w:rsid w:val="00830A61"/>
    <w:rsid w:val="0083209C"/>
    <w:rsid w:val="00832910"/>
    <w:rsid w:val="00832B76"/>
    <w:rsid w:val="00834F0E"/>
    <w:rsid w:val="00842793"/>
    <w:rsid w:val="00843F87"/>
    <w:rsid w:val="00846C08"/>
    <w:rsid w:val="008505D4"/>
    <w:rsid w:val="00850DF6"/>
    <w:rsid w:val="00850E41"/>
    <w:rsid w:val="008530D8"/>
    <w:rsid w:val="0085718D"/>
    <w:rsid w:val="00860955"/>
    <w:rsid w:val="00871E40"/>
    <w:rsid w:val="00874782"/>
    <w:rsid w:val="00876251"/>
    <w:rsid w:val="0087784B"/>
    <w:rsid w:val="0088145A"/>
    <w:rsid w:val="00881BEF"/>
    <w:rsid w:val="008850EC"/>
    <w:rsid w:val="008904EA"/>
    <w:rsid w:val="00892F2C"/>
    <w:rsid w:val="0089347D"/>
    <w:rsid w:val="008965A4"/>
    <w:rsid w:val="00897354"/>
    <w:rsid w:val="008A1561"/>
    <w:rsid w:val="008A435D"/>
    <w:rsid w:val="008A539A"/>
    <w:rsid w:val="008A6905"/>
    <w:rsid w:val="008B6695"/>
    <w:rsid w:val="008B74D2"/>
    <w:rsid w:val="008C0BE7"/>
    <w:rsid w:val="008D1F66"/>
    <w:rsid w:val="008D791F"/>
    <w:rsid w:val="008F004E"/>
    <w:rsid w:val="008F17C1"/>
    <w:rsid w:val="008F23D4"/>
    <w:rsid w:val="008F2D22"/>
    <w:rsid w:val="008F3A2B"/>
    <w:rsid w:val="008F3C26"/>
    <w:rsid w:val="008F5F79"/>
    <w:rsid w:val="008F62FF"/>
    <w:rsid w:val="008F67B5"/>
    <w:rsid w:val="009000B6"/>
    <w:rsid w:val="0090388E"/>
    <w:rsid w:val="00903C30"/>
    <w:rsid w:val="009140BC"/>
    <w:rsid w:val="00916165"/>
    <w:rsid w:val="0091624B"/>
    <w:rsid w:val="00921D52"/>
    <w:rsid w:val="00922757"/>
    <w:rsid w:val="00931BBB"/>
    <w:rsid w:val="0093428E"/>
    <w:rsid w:val="00935D02"/>
    <w:rsid w:val="00937F2E"/>
    <w:rsid w:val="00943545"/>
    <w:rsid w:val="00943E26"/>
    <w:rsid w:val="00950101"/>
    <w:rsid w:val="009509E2"/>
    <w:rsid w:val="00954F91"/>
    <w:rsid w:val="00956236"/>
    <w:rsid w:val="0096161B"/>
    <w:rsid w:val="00967344"/>
    <w:rsid w:val="0096771D"/>
    <w:rsid w:val="009706DE"/>
    <w:rsid w:val="00973300"/>
    <w:rsid w:val="0097389C"/>
    <w:rsid w:val="00977838"/>
    <w:rsid w:val="00977DBC"/>
    <w:rsid w:val="00982675"/>
    <w:rsid w:val="00982851"/>
    <w:rsid w:val="00982980"/>
    <w:rsid w:val="00982BA6"/>
    <w:rsid w:val="009831F6"/>
    <w:rsid w:val="00983495"/>
    <w:rsid w:val="00985430"/>
    <w:rsid w:val="00990A22"/>
    <w:rsid w:val="0099363E"/>
    <w:rsid w:val="00996248"/>
    <w:rsid w:val="009A40ED"/>
    <w:rsid w:val="009A65D2"/>
    <w:rsid w:val="009A6E6B"/>
    <w:rsid w:val="009B0354"/>
    <w:rsid w:val="009B2218"/>
    <w:rsid w:val="009B227F"/>
    <w:rsid w:val="009B2422"/>
    <w:rsid w:val="009B4BD9"/>
    <w:rsid w:val="009C762A"/>
    <w:rsid w:val="009D0A3C"/>
    <w:rsid w:val="009D283F"/>
    <w:rsid w:val="009E526E"/>
    <w:rsid w:val="009E7951"/>
    <w:rsid w:val="009F2706"/>
    <w:rsid w:val="009F5705"/>
    <w:rsid w:val="00A017BB"/>
    <w:rsid w:val="00A017D2"/>
    <w:rsid w:val="00A0431C"/>
    <w:rsid w:val="00A13F02"/>
    <w:rsid w:val="00A208AE"/>
    <w:rsid w:val="00A22B6B"/>
    <w:rsid w:val="00A23EC3"/>
    <w:rsid w:val="00A25E54"/>
    <w:rsid w:val="00A26B6C"/>
    <w:rsid w:val="00A326FB"/>
    <w:rsid w:val="00A374AF"/>
    <w:rsid w:val="00A37D53"/>
    <w:rsid w:val="00A45B85"/>
    <w:rsid w:val="00A46C93"/>
    <w:rsid w:val="00A50FE5"/>
    <w:rsid w:val="00A52447"/>
    <w:rsid w:val="00A5401F"/>
    <w:rsid w:val="00A54A14"/>
    <w:rsid w:val="00A56F1B"/>
    <w:rsid w:val="00A62ADA"/>
    <w:rsid w:val="00A665EE"/>
    <w:rsid w:val="00A709B7"/>
    <w:rsid w:val="00A7145D"/>
    <w:rsid w:val="00A75399"/>
    <w:rsid w:val="00A75CB8"/>
    <w:rsid w:val="00A808E6"/>
    <w:rsid w:val="00A80DCD"/>
    <w:rsid w:val="00A83F6D"/>
    <w:rsid w:val="00A906A4"/>
    <w:rsid w:val="00A93091"/>
    <w:rsid w:val="00A95C18"/>
    <w:rsid w:val="00AA2099"/>
    <w:rsid w:val="00AA2188"/>
    <w:rsid w:val="00AA4152"/>
    <w:rsid w:val="00AB2070"/>
    <w:rsid w:val="00AB2236"/>
    <w:rsid w:val="00AC0E8F"/>
    <w:rsid w:val="00AC2C2F"/>
    <w:rsid w:val="00AC33D4"/>
    <w:rsid w:val="00AC4BBE"/>
    <w:rsid w:val="00AC7E05"/>
    <w:rsid w:val="00AD0E0A"/>
    <w:rsid w:val="00AD1653"/>
    <w:rsid w:val="00AD4D15"/>
    <w:rsid w:val="00AD5627"/>
    <w:rsid w:val="00AD6C1D"/>
    <w:rsid w:val="00AD7765"/>
    <w:rsid w:val="00AE1664"/>
    <w:rsid w:val="00AE1679"/>
    <w:rsid w:val="00AF2B0A"/>
    <w:rsid w:val="00AF6182"/>
    <w:rsid w:val="00AF65A1"/>
    <w:rsid w:val="00B0198C"/>
    <w:rsid w:val="00B102A6"/>
    <w:rsid w:val="00B11FAE"/>
    <w:rsid w:val="00B1563F"/>
    <w:rsid w:val="00B21E14"/>
    <w:rsid w:val="00B24D33"/>
    <w:rsid w:val="00B261DC"/>
    <w:rsid w:val="00B27B53"/>
    <w:rsid w:val="00B27CA7"/>
    <w:rsid w:val="00B3764F"/>
    <w:rsid w:val="00B424A0"/>
    <w:rsid w:val="00B42A88"/>
    <w:rsid w:val="00B47747"/>
    <w:rsid w:val="00B5052E"/>
    <w:rsid w:val="00B512F3"/>
    <w:rsid w:val="00B5182E"/>
    <w:rsid w:val="00B52847"/>
    <w:rsid w:val="00B557F0"/>
    <w:rsid w:val="00B562E8"/>
    <w:rsid w:val="00B569A0"/>
    <w:rsid w:val="00B62146"/>
    <w:rsid w:val="00B650C4"/>
    <w:rsid w:val="00B65BA1"/>
    <w:rsid w:val="00B70562"/>
    <w:rsid w:val="00B70A84"/>
    <w:rsid w:val="00B75742"/>
    <w:rsid w:val="00B80016"/>
    <w:rsid w:val="00B801D7"/>
    <w:rsid w:val="00B81B78"/>
    <w:rsid w:val="00B8427E"/>
    <w:rsid w:val="00B864C0"/>
    <w:rsid w:val="00B875EC"/>
    <w:rsid w:val="00B93FE3"/>
    <w:rsid w:val="00B949AC"/>
    <w:rsid w:val="00B94ABC"/>
    <w:rsid w:val="00BA0BAC"/>
    <w:rsid w:val="00BA280E"/>
    <w:rsid w:val="00BA35CF"/>
    <w:rsid w:val="00BA70C3"/>
    <w:rsid w:val="00BB0728"/>
    <w:rsid w:val="00BB653D"/>
    <w:rsid w:val="00BB6D99"/>
    <w:rsid w:val="00BC0144"/>
    <w:rsid w:val="00BC0651"/>
    <w:rsid w:val="00BC1945"/>
    <w:rsid w:val="00BD2938"/>
    <w:rsid w:val="00BD628F"/>
    <w:rsid w:val="00BD677F"/>
    <w:rsid w:val="00BD79A2"/>
    <w:rsid w:val="00BE27E4"/>
    <w:rsid w:val="00BF4C0F"/>
    <w:rsid w:val="00BF5A37"/>
    <w:rsid w:val="00BF753B"/>
    <w:rsid w:val="00C0218C"/>
    <w:rsid w:val="00C0430B"/>
    <w:rsid w:val="00C0456D"/>
    <w:rsid w:val="00C073CF"/>
    <w:rsid w:val="00C25C5F"/>
    <w:rsid w:val="00C34A14"/>
    <w:rsid w:val="00C46C6F"/>
    <w:rsid w:val="00C46C7F"/>
    <w:rsid w:val="00C5177A"/>
    <w:rsid w:val="00C52866"/>
    <w:rsid w:val="00C571A4"/>
    <w:rsid w:val="00C644B3"/>
    <w:rsid w:val="00C67842"/>
    <w:rsid w:val="00C67BA2"/>
    <w:rsid w:val="00C67F83"/>
    <w:rsid w:val="00C74BF2"/>
    <w:rsid w:val="00C77277"/>
    <w:rsid w:val="00C82F75"/>
    <w:rsid w:val="00C84538"/>
    <w:rsid w:val="00C865F3"/>
    <w:rsid w:val="00C8727B"/>
    <w:rsid w:val="00C907F0"/>
    <w:rsid w:val="00C93297"/>
    <w:rsid w:val="00C97D06"/>
    <w:rsid w:val="00CA1C1E"/>
    <w:rsid w:val="00CA1E04"/>
    <w:rsid w:val="00CA474B"/>
    <w:rsid w:val="00CA5B86"/>
    <w:rsid w:val="00CB2A4B"/>
    <w:rsid w:val="00CB3B77"/>
    <w:rsid w:val="00CB42E0"/>
    <w:rsid w:val="00CC6739"/>
    <w:rsid w:val="00CC75A5"/>
    <w:rsid w:val="00CD22B3"/>
    <w:rsid w:val="00CD533B"/>
    <w:rsid w:val="00CD6D68"/>
    <w:rsid w:val="00CD7EBC"/>
    <w:rsid w:val="00CE51B6"/>
    <w:rsid w:val="00CF1313"/>
    <w:rsid w:val="00CF1DC0"/>
    <w:rsid w:val="00CF2355"/>
    <w:rsid w:val="00CF2F48"/>
    <w:rsid w:val="00CF3EA8"/>
    <w:rsid w:val="00CF72FD"/>
    <w:rsid w:val="00D01D48"/>
    <w:rsid w:val="00D0738A"/>
    <w:rsid w:val="00D140E4"/>
    <w:rsid w:val="00D140FF"/>
    <w:rsid w:val="00D211A6"/>
    <w:rsid w:val="00D268F4"/>
    <w:rsid w:val="00D27121"/>
    <w:rsid w:val="00D35796"/>
    <w:rsid w:val="00D37F92"/>
    <w:rsid w:val="00D434E5"/>
    <w:rsid w:val="00D47F92"/>
    <w:rsid w:val="00D52D8D"/>
    <w:rsid w:val="00D5497B"/>
    <w:rsid w:val="00D563A3"/>
    <w:rsid w:val="00D5683D"/>
    <w:rsid w:val="00D60F5F"/>
    <w:rsid w:val="00D636D3"/>
    <w:rsid w:val="00D66958"/>
    <w:rsid w:val="00D7254C"/>
    <w:rsid w:val="00D73675"/>
    <w:rsid w:val="00D8242E"/>
    <w:rsid w:val="00D82783"/>
    <w:rsid w:val="00D83956"/>
    <w:rsid w:val="00D86CDB"/>
    <w:rsid w:val="00D87A19"/>
    <w:rsid w:val="00D90A7D"/>
    <w:rsid w:val="00D92DB2"/>
    <w:rsid w:val="00D94727"/>
    <w:rsid w:val="00D977BD"/>
    <w:rsid w:val="00DA0052"/>
    <w:rsid w:val="00DA5FE9"/>
    <w:rsid w:val="00DB2422"/>
    <w:rsid w:val="00DB78B2"/>
    <w:rsid w:val="00DC44DA"/>
    <w:rsid w:val="00DD5524"/>
    <w:rsid w:val="00DD59C3"/>
    <w:rsid w:val="00DE3126"/>
    <w:rsid w:val="00DF79DF"/>
    <w:rsid w:val="00E04E41"/>
    <w:rsid w:val="00E055A5"/>
    <w:rsid w:val="00E05D54"/>
    <w:rsid w:val="00E06B24"/>
    <w:rsid w:val="00E1158D"/>
    <w:rsid w:val="00E31B55"/>
    <w:rsid w:val="00E3221D"/>
    <w:rsid w:val="00E32EFC"/>
    <w:rsid w:val="00E44A17"/>
    <w:rsid w:val="00E4529C"/>
    <w:rsid w:val="00E504A9"/>
    <w:rsid w:val="00E62238"/>
    <w:rsid w:val="00E626F7"/>
    <w:rsid w:val="00E642B6"/>
    <w:rsid w:val="00E71271"/>
    <w:rsid w:val="00E75156"/>
    <w:rsid w:val="00E7684C"/>
    <w:rsid w:val="00E77F7A"/>
    <w:rsid w:val="00E82758"/>
    <w:rsid w:val="00E83E50"/>
    <w:rsid w:val="00E862FF"/>
    <w:rsid w:val="00E871BC"/>
    <w:rsid w:val="00E9310C"/>
    <w:rsid w:val="00E937AF"/>
    <w:rsid w:val="00E97CF1"/>
    <w:rsid w:val="00EA3526"/>
    <w:rsid w:val="00EA7213"/>
    <w:rsid w:val="00EB53BA"/>
    <w:rsid w:val="00EB6CA9"/>
    <w:rsid w:val="00EC0289"/>
    <w:rsid w:val="00EC5D6B"/>
    <w:rsid w:val="00EC6660"/>
    <w:rsid w:val="00ED1B60"/>
    <w:rsid w:val="00ED2935"/>
    <w:rsid w:val="00EE02F4"/>
    <w:rsid w:val="00EE18B2"/>
    <w:rsid w:val="00EE23C3"/>
    <w:rsid w:val="00EE62BF"/>
    <w:rsid w:val="00EF0C4D"/>
    <w:rsid w:val="00EF182A"/>
    <w:rsid w:val="00EF1B3A"/>
    <w:rsid w:val="00EF3915"/>
    <w:rsid w:val="00F044F8"/>
    <w:rsid w:val="00F06782"/>
    <w:rsid w:val="00F0736C"/>
    <w:rsid w:val="00F07929"/>
    <w:rsid w:val="00F123C5"/>
    <w:rsid w:val="00F1464B"/>
    <w:rsid w:val="00F226CA"/>
    <w:rsid w:val="00F27A88"/>
    <w:rsid w:val="00F27E81"/>
    <w:rsid w:val="00F30175"/>
    <w:rsid w:val="00F33B82"/>
    <w:rsid w:val="00F34B05"/>
    <w:rsid w:val="00F36DB3"/>
    <w:rsid w:val="00F37A17"/>
    <w:rsid w:val="00F44D48"/>
    <w:rsid w:val="00F529C0"/>
    <w:rsid w:val="00F546CC"/>
    <w:rsid w:val="00F564E5"/>
    <w:rsid w:val="00F609E1"/>
    <w:rsid w:val="00F6115D"/>
    <w:rsid w:val="00F6156C"/>
    <w:rsid w:val="00F63EB0"/>
    <w:rsid w:val="00F65410"/>
    <w:rsid w:val="00F73427"/>
    <w:rsid w:val="00F75DC4"/>
    <w:rsid w:val="00F7655D"/>
    <w:rsid w:val="00F82981"/>
    <w:rsid w:val="00F9083E"/>
    <w:rsid w:val="00F927B3"/>
    <w:rsid w:val="00F92E88"/>
    <w:rsid w:val="00F9621A"/>
    <w:rsid w:val="00F96CBE"/>
    <w:rsid w:val="00FA588B"/>
    <w:rsid w:val="00FA636F"/>
    <w:rsid w:val="00FA7A35"/>
    <w:rsid w:val="00FB3693"/>
    <w:rsid w:val="00FC02D3"/>
    <w:rsid w:val="00FC117E"/>
    <w:rsid w:val="00FC1553"/>
    <w:rsid w:val="00FC2E44"/>
    <w:rsid w:val="00FC7D71"/>
    <w:rsid w:val="00FD4C9B"/>
    <w:rsid w:val="00FE05AB"/>
    <w:rsid w:val="00FE0609"/>
    <w:rsid w:val="00FE253E"/>
    <w:rsid w:val="00FE594D"/>
    <w:rsid w:val="00FF157A"/>
    <w:rsid w:val="00FF1CB5"/>
    <w:rsid w:val="00FF2D3E"/>
    <w:rsid w:val="00FF463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2D8BE"/>
  <w15:docId w15:val="{D2B7FF16-9DFE-4FEA-8962-69956A28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679"/>
    <w:rPr>
      <w:lang w:val="es-ES_tradnl"/>
    </w:rPr>
  </w:style>
  <w:style w:type="paragraph" w:styleId="Ttulo1">
    <w:name w:val="heading 1"/>
    <w:basedOn w:val="Normal"/>
    <w:link w:val="Ttulo1Car"/>
    <w:uiPriority w:val="9"/>
    <w:qFormat/>
    <w:rsid w:val="00620542"/>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paragraph" w:styleId="Ttulo2">
    <w:name w:val="heading 2"/>
    <w:basedOn w:val="Normal"/>
    <w:next w:val="Normal"/>
    <w:link w:val="Ttulo2Car"/>
    <w:uiPriority w:val="9"/>
    <w:semiHidden/>
    <w:unhideWhenUsed/>
    <w:qFormat/>
    <w:rsid w:val="005F15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6D02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0542"/>
    <w:rPr>
      <w:rFonts w:ascii="Times New Roman" w:eastAsia="Times New Roman" w:hAnsi="Times New Roman" w:cs="Times New Roman"/>
      <w:b/>
      <w:bCs/>
      <w:kern w:val="36"/>
      <w:sz w:val="48"/>
      <w:szCs w:val="48"/>
      <w:lang w:eastAsia="es-ES"/>
    </w:rPr>
  </w:style>
  <w:style w:type="paragraph" w:customStyle="1" w:styleId="first-child">
    <w:name w:val="first-child"/>
    <w:basedOn w:val="Normal"/>
    <w:rsid w:val="0062054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Fuerte">
    <w:name w:val="Strong"/>
    <w:basedOn w:val="Fuentedeprrafopredeter"/>
    <w:uiPriority w:val="22"/>
    <w:qFormat/>
    <w:rsid w:val="00620542"/>
    <w:rPr>
      <w:b/>
      <w:bCs/>
    </w:rPr>
  </w:style>
  <w:style w:type="paragraph" w:customStyle="1" w:styleId="last-child">
    <w:name w:val="last-child"/>
    <w:basedOn w:val="Normal"/>
    <w:rsid w:val="0062054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620542"/>
    <w:rPr>
      <w:color w:val="0000FF"/>
      <w:u w:val="single"/>
    </w:rPr>
  </w:style>
  <w:style w:type="paragraph" w:styleId="NormalWeb">
    <w:name w:val="Normal (Web)"/>
    <w:basedOn w:val="Normal"/>
    <w:uiPriority w:val="99"/>
    <w:unhideWhenUsed/>
    <w:rsid w:val="0062054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Mencinsinresolver1">
    <w:name w:val="Mención sin resolver1"/>
    <w:basedOn w:val="Fuentedeprrafopredeter"/>
    <w:uiPriority w:val="99"/>
    <w:semiHidden/>
    <w:unhideWhenUsed/>
    <w:rsid w:val="00E83E50"/>
    <w:rPr>
      <w:color w:val="605E5C"/>
      <w:shd w:val="clear" w:color="auto" w:fill="E1DFDD"/>
    </w:rPr>
  </w:style>
  <w:style w:type="paragraph" w:styleId="Encabezado">
    <w:name w:val="header"/>
    <w:basedOn w:val="Normal"/>
    <w:link w:val="EncabezadoCar"/>
    <w:uiPriority w:val="99"/>
    <w:unhideWhenUsed/>
    <w:rsid w:val="00E83E5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3E50"/>
    <w:rPr>
      <w:lang w:val="es-ES_tradnl"/>
    </w:rPr>
  </w:style>
  <w:style w:type="paragraph" w:styleId="Piedepgina">
    <w:name w:val="footer"/>
    <w:basedOn w:val="Normal"/>
    <w:link w:val="PiedepginaCar"/>
    <w:uiPriority w:val="99"/>
    <w:unhideWhenUsed/>
    <w:rsid w:val="00E83E5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3E50"/>
    <w:rPr>
      <w:lang w:val="es-ES_tradnl"/>
    </w:rPr>
  </w:style>
  <w:style w:type="character" w:styleId="Hipervnculovisitado">
    <w:name w:val="FollowedHyperlink"/>
    <w:basedOn w:val="Fuentedeprrafopredeter"/>
    <w:uiPriority w:val="99"/>
    <w:semiHidden/>
    <w:unhideWhenUsed/>
    <w:rsid w:val="00E83E50"/>
    <w:rPr>
      <w:color w:val="954F72" w:themeColor="followedHyperlink"/>
      <w:u w:val="single"/>
    </w:rPr>
  </w:style>
  <w:style w:type="paragraph" w:customStyle="1" w:styleId="m1909010295309559315msolistparagraph">
    <w:name w:val="m_1909010295309559315msolistparagraph"/>
    <w:basedOn w:val="Normal"/>
    <w:rsid w:val="00812019"/>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paragraph" w:styleId="Prrafodelista">
    <w:name w:val="List Paragraph"/>
    <w:basedOn w:val="Normal"/>
    <w:qFormat/>
    <w:rsid w:val="00752F2A"/>
    <w:pPr>
      <w:ind w:left="720"/>
      <w:contextualSpacing/>
    </w:pPr>
  </w:style>
  <w:style w:type="paragraph" w:styleId="Revisin">
    <w:name w:val="Revision"/>
    <w:hidden/>
    <w:uiPriority w:val="99"/>
    <w:semiHidden/>
    <w:rsid w:val="000132DE"/>
    <w:pPr>
      <w:spacing w:after="0" w:line="240" w:lineRule="auto"/>
    </w:pPr>
    <w:rPr>
      <w:lang w:val="es-ES_tradnl"/>
    </w:rPr>
  </w:style>
  <w:style w:type="character" w:styleId="Refdecomentario">
    <w:name w:val="annotation reference"/>
    <w:basedOn w:val="Fuentedeprrafopredeter"/>
    <w:uiPriority w:val="99"/>
    <w:semiHidden/>
    <w:unhideWhenUsed/>
    <w:rsid w:val="000132DE"/>
    <w:rPr>
      <w:sz w:val="16"/>
      <w:szCs w:val="16"/>
    </w:rPr>
  </w:style>
  <w:style w:type="paragraph" w:styleId="Textocomentario">
    <w:name w:val="annotation text"/>
    <w:basedOn w:val="Normal"/>
    <w:link w:val="TextocomentarioCar"/>
    <w:uiPriority w:val="99"/>
    <w:unhideWhenUsed/>
    <w:rsid w:val="000132DE"/>
    <w:pPr>
      <w:spacing w:line="240" w:lineRule="auto"/>
    </w:pPr>
    <w:rPr>
      <w:sz w:val="20"/>
      <w:szCs w:val="20"/>
    </w:rPr>
  </w:style>
  <w:style w:type="character" w:customStyle="1" w:styleId="TextocomentarioCar">
    <w:name w:val="Texto comentario Car"/>
    <w:basedOn w:val="Fuentedeprrafopredeter"/>
    <w:link w:val="Textocomentario"/>
    <w:uiPriority w:val="99"/>
    <w:rsid w:val="000132DE"/>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0132DE"/>
    <w:rPr>
      <w:b/>
      <w:bCs/>
    </w:rPr>
  </w:style>
  <w:style w:type="character" w:customStyle="1" w:styleId="AsuntodelcomentarioCar">
    <w:name w:val="Asunto del comentario Car"/>
    <w:basedOn w:val="TextocomentarioCar"/>
    <w:link w:val="Asuntodelcomentario"/>
    <w:uiPriority w:val="99"/>
    <w:semiHidden/>
    <w:rsid w:val="000132DE"/>
    <w:rPr>
      <w:b/>
      <w:bCs/>
      <w:sz w:val="20"/>
      <w:szCs w:val="20"/>
      <w:lang w:val="es-ES_tradnl"/>
    </w:rPr>
  </w:style>
  <w:style w:type="paragraph" w:styleId="Textodeglobo">
    <w:name w:val="Balloon Text"/>
    <w:basedOn w:val="Normal"/>
    <w:link w:val="TextodegloboCar"/>
    <w:uiPriority w:val="99"/>
    <w:semiHidden/>
    <w:unhideWhenUsed/>
    <w:rsid w:val="00F63E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3EB0"/>
    <w:rPr>
      <w:rFonts w:ascii="Tahoma" w:hAnsi="Tahoma" w:cs="Tahoma"/>
      <w:sz w:val="16"/>
      <w:szCs w:val="16"/>
      <w:lang w:val="es-ES_tradnl"/>
    </w:rPr>
  </w:style>
  <w:style w:type="character" w:customStyle="1" w:styleId="Mencinsinresolver2">
    <w:name w:val="Mención sin resolver2"/>
    <w:basedOn w:val="Fuentedeprrafopredeter"/>
    <w:uiPriority w:val="99"/>
    <w:semiHidden/>
    <w:unhideWhenUsed/>
    <w:rsid w:val="00781D14"/>
    <w:rPr>
      <w:color w:val="605E5C"/>
      <w:shd w:val="clear" w:color="auto" w:fill="E1DFDD"/>
    </w:rPr>
  </w:style>
  <w:style w:type="character" w:styleId="Mencinsinresolver">
    <w:name w:val="Unresolved Mention"/>
    <w:basedOn w:val="Fuentedeprrafopredeter"/>
    <w:uiPriority w:val="99"/>
    <w:semiHidden/>
    <w:unhideWhenUsed/>
    <w:rsid w:val="00A017BB"/>
    <w:rPr>
      <w:color w:val="605E5C"/>
      <w:shd w:val="clear" w:color="auto" w:fill="E1DFDD"/>
    </w:rPr>
  </w:style>
  <w:style w:type="character" w:customStyle="1" w:styleId="Ttulo3Car">
    <w:name w:val="Título 3 Car"/>
    <w:basedOn w:val="Fuentedeprrafopredeter"/>
    <w:link w:val="Ttulo3"/>
    <w:uiPriority w:val="9"/>
    <w:semiHidden/>
    <w:rsid w:val="006D022D"/>
    <w:rPr>
      <w:rFonts w:asciiTheme="majorHAnsi" w:eastAsiaTheme="majorEastAsia" w:hAnsiTheme="majorHAnsi" w:cstheme="majorBidi"/>
      <w:color w:val="1F3763" w:themeColor="accent1" w:themeShade="7F"/>
      <w:sz w:val="24"/>
      <w:szCs w:val="24"/>
      <w:lang w:val="es-ES_tradnl"/>
    </w:rPr>
  </w:style>
  <w:style w:type="character" w:customStyle="1" w:styleId="Ttulo2Car">
    <w:name w:val="Título 2 Car"/>
    <w:basedOn w:val="Fuentedeprrafopredeter"/>
    <w:link w:val="Ttulo2"/>
    <w:uiPriority w:val="9"/>
    <w:semiHidden/>
    <w:rsid w:val="005F1564"/>
    <w:rPr>
      <w:rFonts w:asciiTheme="majorHAnsi" w:eastAsiaTheme="majorEastAsia" w:hAnsiTheme="majorHAnsi" w:cstheme="majorBidi"/>
      <w:color w:val="2F5496" w:themeColor="accent1" w:themeShade="BF"/>
      <w:sz w:val="26"/>
      <w:szCs w:val="26"/>
      <w:lang w:val="es-ES_tradnl"/>
    </w:rPr>
  </w:style>
  <w:style w:type="character" w:customStyle="1" w:styleId="relative">
    <w:name w:val="relative"/>
    <w:basedOn w:val="Fuentedeprrafopredeter"/>
    <w:rsid w:val="00767194"/>
  </w:style>
  <w:style w:type="paragraph" w:customStyle="1" w:styleId="not-prose">
    <w:name w:val="not-prose"/>
    <w:basedOn w:val="Normal"/>
    <w:rsid w:val="00767194"/>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paragraph" w:styleId="z-Principiodelformulario">
    <w:name w:val="HTML Top of Form"/>
    <w:basedOn w:val="Normal"/>
    <w:next w:val="Normal"/>
    <w:link w:val="z-PrincipiodelformularioCar"/>
    <w:hidden/>
    <w:uiPriority w:val="99"/>
    <w:semiHidden/>
    <w:unhideWhenUsed/>
    <w:rsid w:val="00767194"/>
    <w:pPr>
      <w:pBdr>
        <w:bottom w:val="single" w:sz="6" w:space="1" w:color="auto"/>
      </w:pBdr>
      <w:spacing w:after="0" w:line="240" w:lineRule="auto"/>
      <w:jc w:val="center"/>
    </w:pPr>
    <w:rPr>
      <w:rFonts w:ascii="Arial" w:eastAsia="Times New Roman" w:hAnsi="Arial" w:cs="Arial"/>
      <w:vanish/>
      <w:sz w:val="16"/>
      <w:szCs w:val="16"/>
      <w:lang w:val="es-ES" w:eastAsia="es-ES_tradnl"/>
    </w:rPr>
  </w:style>
  <w:style w:type="character" w:customStyle="1" w:styleId="z-PrincipiodelformularioCar">
    <w:name w:val="z-Principio del formulario Car"/>
    <w:basedOn w:val="Fuentedeprrafopredeter"/>
    <w:link w:val="z-Principiodelformulario"/>
    <w:uiPriority w:val="99"/>
    <w:semiHidden/>
    <w:rsid w:val="00767194"/>
    <w:rPr>
      <w:rFonts w:ascii="Arial" w:eastAsia="Times New Roman" w:hAnsi="Arial" w:cs="Arial"/>
      <w:vanish/>
      <w:sz w:val="16"/>
      <w:szCs w:val="16"/>
      <w:lang w:eastAsia="es-ES_tradnl"/>
    </w:rPr>
  </w:style>
  <w:style w:type="paragraph" w:customStyle="1" w:styleId="placeholder">
    <w:name w:val="placeholder"/>
    <w:basedOn w:val="Normal"/>
    <w:rsid w:val="00767194"/>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paragraph" w:styleId="z-Finaldelformulario">
    <w:name w:val="HTML Bottom of Form"/>
    <w:basedOn w:val="Normal"/>
    <w:next w:val="Normal"/>
    <w:link w:val="z-FinaldelformularioCar"/>
    <w:hidden/>
    <w:uiPriority w:val="99"/>
    <w:semiHidden/>
    <w:unhideWhenUsed/>
    <w:rsid w:val="00767194"/>
    <w:pPr>
      <w:pBdr>
        <w:top w:val="single" w:sz="6" w:space="1" w:color="auto"/>
      </w:pBdr>
      <w:spacing w:after="0" w:line="240" w:lineRule="auto"/>
      <w:jc w:val="center"/>
    </w:pPr>
    <w:rPr>
      <w:rFonts w:ascii="Arial" w:eastAsia="Times New Roman" w:hAnsi="Arial" w:cs="Arial"/>
      <w:vanish/>
      <w:sz w:val="16"/>
      <w:szCs w:val="16"/>
      <w:lang w:val="es-ES" w:eastAsia="es-ES_tradnl"/>
    </w:rPr>
  </w:style>
  <w:style w:type="character" w:customStyle="1" w:styleId="z-FinaldelformularioCar">
    <w:name w:val="z-Final del formulario Car"/>
    <w:basedOn w:val="Fuentedeprrafopredeter"/>
    <w:link w:val="z-Finaldelformulario"/>
    <w:uiPriority w:val="99"/>
    <w:semiHidden/>
    <w:rsid w:val="00767194"/>
    <w:rPr>
      <w:rFonts w:ascii="Arial" w:eastAsia="Times New Roman" w:hAnsi="Arial" w:cs="Arial"/>
      <w:vanish/>
      <w:sz w:val="16"/>
      <w:szCs w:val="16"/>
      <w:lang w:eastAsia="es-ES_tradnl"/>
    </w:rPr>
  </w:style>
  <w:style w:type="character" w:styleId="nfasis">
    <w:name w:val="Emphasis"/>
    <w:basedOn w:val="Fuentedeprrafopredeter"/>
    <w:uiPriority w:val="20"/>
    <w:qFormat/>
    <w:rsid w:val="00701C32"/>
    <w:rPr>
      <w:i/>
      <w:iCs/>
    </w:rPr>
  </w:style>
  <w:style w:type="character" w:customStyle="1" w:styleId="whitespace-normal">
    <w:name w:val="whitespace-normal"/>
    <w:basedOn w:val="Fuentedeprrafopredeter"/>
    <w:rsid w:val="00075CB9"/>
  </w:style>
  <w:style w:type="paragraph" w:customStyle="1" w:styleId="isselectedend">
    <w:name w:val="isselectedend"/>
    <w:basedOn w:val="Normal"/>
    <w:rsid w:val="00EE02F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font-claude-response-body">
    <w:name w:val="font-claude-response-body"/>
    <w:basedOn w:val="Normal"/>
    <w:rsid w:val="00B801D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dq2pgselectionanchorcontainer">
    <w:name w:val="pdq2pg_selectionanchorcontainer"/>
    <w:basedOn w:val="Normal"/>
    <w:rsid w:val="00B5052E"/>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39486">
      <w:bodyDiv w:val="1"/>
      <w:marLeft w:val="0"/>
      <w:marRight w:val="0"/>
      <w:marTop w:val="0"/>
      <w:marBottom w:val="0"/>
      <w:divBdr>
        <w:top w:val="none" w:sz="0" w:space="0" w:color="auto"/>
        <w:left w:val="none" w:sz="0" w:space="0" w:color="auto"/>
        <w:bottom w:val="none" w:sz="0" w:space="0" w:color="auto"/>
        <w:right w:val="none" w:sz="0" w:space="0" w:color="auto"/>
      </w:divBdr>
    </w:div>
    <w:div w:id="406344939">
      <w:bodyDiv w:val="1"/>
      <w:marLeft w:val="0"/>
      <w:marRight w:val="0"/>
      <w:marTop w:val="0"/>
      <w:marBottom w:val="0"/>
      <w:divBdr>
        <w:top w:val="none" w:sz="0" w:space="0" w:color="auto"/>
        <w:left w:val="none" w:sz="0" w:space="0" w:color="auto"/>
        <w:bottom w:val="none" w:sz="0" w:space="0" w:color="auto"/>
        <w:right w:val="none" w:sz="0" w:space="0" w:color="auto"/>
      </w:divBdr>
    </w:div>
    <w:div w:id="668484571">
      <w:bodyDiv w:val="1"/>
      <w:marLeft w:val="0"/>
      <w:marRight w:val="0"/>
      <w:marTop w:val="0"/>
      <w:marBottom w:val="0"/>
      <w:divBdr>
        <w:top w:val="none" w:sz="0" w:space="0" w:color="auto"/>
        <w:left w:val="none" w:sz="0" w:space="0" w:color="auto"/>
        <w:bottom w:val="none" w:sz="0" w:space="0" w:color="auto"/>
        <w:right w:val="none" w:sz="0" w:space="0" w:color="auto"/>
      </w:divBdr>
      <w:divsChild>
        <w:div w:id="1183711992">
          <w:marLeft w:val="0"/>
          <w:marRight w:val="0"/>
          <w:marTop w:val="0"/>
          <w:marBottom w:val="0"/>
          <w:divBdr>
            <w:top w:val="none" w:sz="0" w:space="0" w:color="auto"/>
            <w:left w:val="none" w:sz="0" w:space="0" w:color="auto"/>
            <w:bottom w:val="none" w:sz="0" w:space="0" w:color="auto"/>
            <w:right w:val="none" w:sz="0" w:space="0" w:color="auto"/>
          </w:divBdr>
          <w:divsChild>
            <w:div w:id="1159661033">
              <w:marLeft w:val="-225"/>
              <w:marRight w:val="-225"/>
              <w:marTop w:val="0"/>
              <w:marBottom w:val="0"/>
              <w:divBdr>
                <w:top w:val="none" w:sz="0" w:space="0" w:color="auto"/>
                <w:left w:val="none" w:sz="0" w:space="0" w:color="auto"/>
                <w:bottom w:val="none" w:sz="0" w:space="0" w:color="auto"/>
                <w:right w:val="none" w:sz="0" w:space="0" w:color="auto"/>
              </w:divBdr>
              <w:divsChild>
                <w:div w:id="19184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46670">
      <w:bodyDiv w:val="1"/>
      <w:marLeft w:val="0"/>
      <w:marRight w:val="0"/>
      <w:marTop w:val="0"/>
      <w:marBottom w:val="0"/>
      <w:divBdr>
        <w:top w:val="none" w:sz="0" w:space="0" w:color="auto"/>
        <w:left w:val="none" w:sz="0" w:space="0" w:color="auto"/>
        <w:bottom w:val="none" w:sz="0" w:space="0" w:color="auto"/>
        <w:right w:val="none" w:sz="0" w:space="0" w:color="auto"/>
      </w:divBdr>
    </w:div>
    <w:div w:id="875314594">
      <w:bodyDiv w:val="1"/>
      <w:marLeft w:val="0"/>
      <w:marRight w:val="0"/>
      <w:marTop w:val="0"/>
      <w:marBottom w:val="0"/>
      <w:divBdr>
        <w:top w:val="none" w:sz="0" w:space="0" w:color="auto"/>
        <w:left w:val="none" w:sz="0" w:space="0" w:color="auto"/>
        <w:bottom w:val="none" w:sz="0" w:space="0" w:color="auto"/>
        <w:right w:val="none" w:sz="0" w:space="0" w:color="auto"/>
      </w:divBdr>
    </w:div>
    <w:div w:id="927233748">
      <w:bodyDiv w:val="1"/>
      <w:marLeft w:val="0"/>
      <w:marRight w:val="0"/>
      <w:marTop w:val="0"/>
      <w:marBottom w:val="0"/>
      <w:divBdr>
        <w:top w:val="none" w:sz="0" w:space="0" w:color="auto"/>
        <w:left w:val="none" w:sz="0" w:space="0" w:color="auto"/>
        <w:bottom w:val="none" w:sz="0" w:space="0" w:color="auto"/>
        <w:right w:val="none" w:sz="0" w:space="0" w:color="auto"/>
      </w:divBdr>
    </w:div>
    <w:div w:id="932786672">
      <w:bodyDiv w:val="1"/>
      <w:marLeft w:val="0"/>
      <w:marRight w:val="0"/>
      <w:marTop w:val="0"/>
      <w:marBottom w:val="0"/>
      <w:divBdr>
        <w:top w:val="none" w:sz="0" w:space="0" w:color="auto"/>
        <w:left w:val="none" w:sz="0" w:space="0" w:color="auto"/>
        <w:bottom w:val="none" w:sz="0" w:space="0" w:color="auto"/>
        <w:right w:val="none" w:sz="0" w:space="0" w:color="auto"/>
      </w:divBdr>
    </w:div>
    <w:div w:id="1057586087">
      <w:bodyDiv w:val="1"/>
      <w:marLeft w:val="0"/>
      <w:marRight w:val="0"/>
      <w:marTop w:val="0"/>
      <w:marBottom w:val="0"/>
      <w:divBdr>
        <w:top w:val="none" w:sz="0" w:space="0" w:color="auto"/>
        <w:left w:val="none" w:sz="0" w:space="0" w:color="auto"/>
        <w:bottom w:val="none" w:sz="0" w:space="0" w:color="auto"/>
        <w:right w:val="none" w:sz="0" w:space="0" w:color="auto"/>
      </w:divBdr>
    </w:div>
    <w:div w:id="1073966369">
      <w:bodyDiv w:val="1"/>
      <w:marLeft w:val="0"/>
      <w:marRight w:val="0"/>
      <w:marTop w:val="0"/>
      <w:marBottom w:val="0"/>
      <w:divBdr>
        <w:top w:val="none" w:sz="0" w:space="0" w:color="auto"/>
        <w:left w:val="none" w:sz="0" w:space="0" w:color="auto"/>
        <w:bottom w:val="none" w:sz="0" w:space="0" w:color="auto"/>
        <w:right w:val="none" w:sz="0" w:space="0" w:color="auto"/>
      </w:divBdr>
    </w:div>
    <w:div w:id="1131285400">
      <w:bodyDiv w:val="1"/>
      <w:marLeft w:val="0"/>
      <w:marRight w:val="0"/>
      <w:marTop w:val="0"/>
      <w:marBottom w:val="0"/>
      <w:divBdr>
        <w:top w:val="none" w:sz="0" w:space="0" w:color="auto"/>
        <w:left w:val="none" w:sz="0" w:space="0" w:color="auto"/>
        <w:bottom w:val="none" w:sz="0" w:space="0" w:color="auto"/>
        <w:right w:val="none" w:sz="0" w:space="0" w:color="auto"/>
      </w:divBdr>
    </w:div>
    <w:div w:id="1265187534">
      <w:bodyDiv w:val="1"/>
      <w:marLeft w:val="0"/>
      <w:marRight w:val="0"/>
      <w:marTop w:val="0"/>
      <w:marBottom w:val="0"/>
      <w:divBdr>
        <w:top w:val="none" w:sz="0" w:space="0" w:color="auto"/>
        <w:left w:val="none" w:sz="0" w:space="0" w:color="auto"/>
        <w:bottom w:val="none" w:sz="0" w:space="0" w:color="auto"/>
        <w:right w:val="none" w:sz="0" w:space="0" w:color="auto"/>
      </w:divBdr>
    </w:div>
    <w:div w:id="1432820922">
      <w:bodyDiv w:val="1"/>
      <w:marLeft w:val="0"/>
      <w:marRight w:val="0"/>
      <w:marTop w:val="0"/>
      <w:marBottom w:val="0"/>
      <w:divBdr>
        <w:top w:val="none" w:sz="0" w:space="0" w:color="auto"/>
        <w:left w:val="none" w:sz="0" w:space="0" w:color="auto"/>
        <w:bottom w:val="none" w:sz="0" w:space="0" w:color="auto"/>
        <w:right w:val="none" w:sz="0" w:space="0" w:color="auto"/>
      </w:divBdr>
    </w:div>
    <w:div w:id="1603761766">
      <w:bodyDiv w:val="1"/>
      <w:marLeft w:val="0"/>
      <w:marRight w:val="0"/>
      <w:marTop w:val="0"/>
      <w:marBottom w:val="0"/>
      <w:divBdr>
        <w:top w:val="none" w:sz="0" w:space="0" w:color="auto"/>
        <w:left w:val="none" w:sz="0" w:space="0" w:color="auto"/>
        <w:bottom w:val="none" w:sz="0" w:space="0" w:color="auto"/>
        <w:right w:val="none" w:sz="0" w:space="0" w:color="auto"/>
      </w:divBdr>
    </w:div>
    <w:div w:id="1610356330">
      <w:bodyDiv w:val="1"/>
      <w:marLeft w:val="0"/>
      <w:marRight w:val="0"/>
      <w:marTop w:val="0"/>
      <w:marBottom w:val="0"/>
      <w:divBdr>
        <w:top w:val="none" w:sz="0" w:space="0" w:color="auto"/>
        <w:left w:val="none" w:sz="0" w:space="0" w:color="auto"/>
        <w:bottom w:val="none" w:sz="0" w:space="0" w:color="auto"/>
        <w:right w:val="none" w:sz="0" w:space="0" w:color="auto"/>
      </w:divBdr>
    </w:div>
    <w:div w:id="1800151361">
      <w:bodyDiv w:val="1"/>
      <w:marLeft w:val="0"/>
      <w:marRight w:val="0"/>
      <w:marTop w:val="0"/>
      <w:marBottom w:val="0"/>
      <w:divBdr>
        <w:top w:val="none" w:sz="0" w:space="0" w:color="auto"/>
        <w:left w:val="none" w:sz="0" w:space="0" w:color="auto"/>
        <w:bottom w:val="none" w:sz="0" w:space="0" w:color="auto"/>
        <w:right w:val="none" w:sz="0" w:space="0" w:color="auto"/>
      </w:divBdr>
    </w:div>
    <w:div w:id="1834298103">
      <w:bodyDiv w:val="1"/>
      <w:marLeft w:val="0"/>
      <w:marRight w:val="0"/>
      <w:marTop w:val="0"/>
      <w:marBottom w:val="0"/>
      <w:divBdr>
        <w:top w:val="none" w:sz="0" w:space="0" w:color="auto"/>
        <w:left w:val="none" w:sz="0" w:space="0" w:color="auto"/>
        <w:bottom w:val="none" w:sz="0" w:space="0" w:color="auto"/>
        <w:right w:val="none" w:sz="0" w:space="0" w:color="auto"/>
      </w:divBdr>
    </w:div>
    <w:div w:id="1896547145">
      <w:bodyDiv w:val="1"/>
      <w:marLeft w:val="0"/>
      <w:marRight w:val="0"/>
      <w:marTop w:val="0"/>
      <w:marBottom w:val="0"/>
      <w:divBdr>
        <w:top w:val="none" w:sz="0" w:space="0" w:color="auto"/>
        <w:left w:val="none" w:sz="0" w:space="0" w:color="auto"/>
        <w:bottom w:val="none" w:sz="0" w:space="0" w:color="auto"/>
        <w:right w:val="none" w:sz="0" w:space="0" w:color="auto"/>
      </w:divBdr>
    </w:div>
    <w:div w:id="2048798631">
      <w:bodyDiv w:val="1"/>
      <w:marLeft w:val="0"/>
      <w:marRight w:val="0"/>
      <w:marTop w:val="0"/>
      <w:marBottom w:val="0"/>
      <w:divBdr>
        <w:top w:val="none" w:sz="0" w:space="0" w:color="auto"/>
        <w:left w:val="none" w:sz="0" w:space="0" w:color="auto"/>
        <w:bottom w:val="none" w:sz="0" w:space="0" w:color="auto"/>
        <w:right w:val="none" w:sz="0" w:space="0" w:color="auto"/>
      </w:divBdr>
    </w:div>
    <w:div w:id="214187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liveoilworldcongr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oliveoilworldcongress.com" TargetMode="External"/><Relationship Id="rId2" Type="http://schemas.openxmlformats.org/officeDocument/2006/relationships/hyperlink" Target="mailto:info@oliveoilwc.com"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1218</Words>
  <Characters>6705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del Carmen Martínez</dc:creator>
  <cp:keywords/>
  <dc:description/>
  <cp:lastModifiedBy>María del Carmen Martínez</cp:lastModifiedBy>
  <cp:revision>2</cp:revision>
  <dcterms:created xsi:type="dcterms:W3CDTF">2026-07-09T06:56:00Z</dcterms:created>
  <dcterms:modified xsi:type="dcterms:W3CDTF">2026-07-09T06:56:00Z</dcterms:modified>
</cp:coreProperties>
</file>