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19009" w14:textId="077021D7" w:rsidR="00D7101C" w:rsidRDefault="00937D7C">
      <w:pPr>
        <w:jc w:val="center"/>
        <w:rPr>
          <w:rFonts w:ascii="Arial" w:eastAsia="Arial" w:hAnsi="Arial" w:cs="Arial"/>
          <w:b/>
          <w:sz w:val="16"/>
          <w:szCs w:val="16"/>
        </w:rPr>
      </w:pPr>
      <w:r w:rsidRPr="00937D7C">
        <w:rPr>
          <w:rFonts w:ascii="Arial" w:eastAsia="Arial" w:hAnsi="Arial" w:cs="Arial"/>
          <w:b/>
          <w:sz w:val="52"/>
          <w:szCs w:val="52"/>
        </w:rPr>
        <w:t>Galletas Gullón renueva por sexto año consecutivo su apoyo a la investigación y la protección del Geoparque Las Loras</w:t>
      </w:r>
    </w:p>
    <w:p w14:paraId="09D67267" w14:textId="0C003BA1" w:rsidR="00DC61FE" w:rsidRPr="00DC61FE" w:rsidRDefault="00DC61FE" w:rsidP="00DC61FE">
      <w:pPr>
        <w:numPr>
          <w:ilvl w:val="0"/>
          <w:numId w:val="1"/>
        </w:numPr>
        <w:pBdr>
          <w:top w:val="nil"/>
          <w:left w:val="nil"/>
          <w:bottom w:val="nil"/>
          <w:right w:val="nil"/>
          <w:between w:val="nil"/>
        </w:pBdr>
        <w:spacing w:after="0" w:line="240" w:lineRule="auto"/>
        <w:jc w:val="both"/>
        <w:rPr>
          <w:rFonts w:ascii="Arial" w:eastAsia="Arial" w:hAnsi="Arial" w:cs="Arial"/>
          <w:b/>
          <w:color w:val="000000"/>
        </w:rPr>
      </w:pPr>
      <w:r w:rsidRPr="00DC61FE">
        <w:rPr>
          <w:rFonts w:ascii="Arial" w:eastAsia="Arial" w:hAnsi="Arial" w:cs="Arial"/>
          <w:b/>
          <w:color w:val="000000"/>
        </w:rPr>
        <w:t xml:space="preserve">La </w:t>
      </w:r>
      <w:r w:rsidR="00937D7C">
        <w:rPr>
          <w:rFonts w:ascii="Arial" w:eastAsia="Arial" w:hAnsi="Arial" w:cs="Arial"/>
          <w:b/>
          <w:color w:val="000000"/>
        </w:rPr>
        <w:t>galletera</w:t>
      </w:r>
      <w:r w:rsidRPr="00DC61FE">
        <w:rPr>
          <w:rFonts w:ascii="Arial" w:eastAsia="Arial" w:hAnsi="Arial" w:cs="Arial"/>
          <w:b/>
          <w:color w:val="000000"/>
        </w:rPr>
        <w:t xml:space="preserve"> vuelve a colaborar con la Asociación para la Reserva Geológica de Las Loras (ARGEOL) para impulsar la investigación y la conservación del patrimonio natural y cultural </w:t>
      </w:r>
      <w:r w:rsidR="00937D7C">
        <w:rPr>
          <w:rFonts w:ascii="Arial" w:eastAsia="Arial" w:hAnsi="Arial" w:cs="Arial"/>
          <w:b/>
          <w:color w:val="000000"/>
        </w:rPr>
        <w:t xml:space="preserve"> </w:t>
      </w:r>
    </w:p>
    <w:p w14:paraId="02EF888D" w14:textId="77777777" w:rsidR="00DC61FE" w:rsidRPr="00DC61FE" w:rsidRDefault="00DC61FE" w:rsidP="00937D7C">
      <w:pPr>
        <w:pBdr>
          <w:top w:val="nil"/>
          <w:left w:val="nil"/>
          <w:bottom w:val="nil"/>
          <w:right w:val="nil"/>
          <w:between w:val="nil"/>
        </w:pBdr>
        <w:spacing w:after="0" w:line="240" w:lineRule="auto"/>
        <w:ind w:left="720"/>
        <w:jc w:val="both"/>
        <w:rPr>
          <w:rFonts w:ascii="Arial" w:eastAsia="Arial" w:hAnsi="Arial" w:cs="Arial"/>
          <w:b/>
          <w:color w:val="000000"/>
        </w:rPr>
      </w:pPr>
    </w:p>
    <w:p w14:paraId="3A56465D" w14:textId="57B797E4" w:rsidR="00DC61FE" w:rsidRPr="00937D7C" w:rsidRDefault="00DC61FE" w:rsidP="00DC61FE">
      <w:pPr>
        <w:numPr>
          <w:ilvl w:val="0"/>
          <w:numId w:val="1"/>
        </w:numPr>
        <w:pBdr>
          <w:top w:val="nil"/>
          <w:left w:val="nil"/>
          <w:bottom w:val="nil"/>
          <w:right w:val="nil"/>
          <w:between w:val="nil"/>
        </w:pBdr>
        <w:spacing w:after="0" w:line="240" w:lineRule="auto"/>
        <w:jc w:val="both"/>
        <w:rPr>
          <w:rFonts w:ascii="Arial" w:eastAsia="Arial" w:hAnsi="Arial" w:cs="Arial"/>
          <w:b/>
          <w:color w:val="000000"/>
        </w:rPr>
      </w:pPr>
      <w:r w:rsidRPr="00DC61FE">
        <w:rPr>
          <w:rFonts w:ascii="Arial" w:eastAsia="Arial" w:hAnsi="Arial" w:cs="Arial"/>
          <w:b/>
          <w:color w:val="000000"/>
        </w:rPr>
        <w:t>La nueva convocatoria de la Beca-Ayuda Gullón a la investigación</w:t>
      </w:r>
      <w:r w:rsidR="00937D7C">
        <w:rPr>
          <w:rFonts w:ascii="Arial" w:eastAsia="Arial" w:hAnsi="Arial" w:cs="Arial"/>
          <w:b/>
          <w:color w:val="000000"/>
        </w:rPr>
        <w:t xml:space="preserve"> </w:t>
      </w:r>
      <w:r w:rsidRPr="00DC61FE">
        <w:rPr>
          <w:rFonts w:ascii="Arial" w:eastAsia="Arial" w:hAnsi="Arial" w:cs="Arial"/>
          <w:b/>
          <w:color w:val="000000"/>
        </w:rPr>
        <w:t xml:space="preserve">financiará proyectos relacionados con el patrimonio, la biodiversidad, la </w:t>
      </w:r>
      <w:r w:rsidRPr="00937D7C">
        <w:rPr>
          <w:rFonts w:ascii="Arial" w:eastAsia="Arial" w:hAnsi="Arial" w:cs="Arial"/>
          <w:b/>
          <w:color w:val="000000"/>
        </w:rPr>
        <w:t>sostenibilidad y la mejora de la calidad de vida en el territorio</w:t>
      </w:r>
    </w:p>
    <w:p w14:paraId="1AD64005" w14:textId="77777777" w:rsidR="00DC61FE" w:rsidRPr="00937D7C" w:rsidRDefault="00DC61FE" w:rsidP="00937D7C">
      <w:pPr>
        <w:pBdr>
          <w:top w:val="nil"/>
          <w:left w:val="nil"/>
          <w:bottom w:val="nil"/>
          <w:right w:val="nil"/>
          <w:between w:val="nil"/>
        </w:pBdr>
        <w:spacing w:after="0" w:line="240" w:lineRule="auto"/>
        <w:ind w:left="720"/>
        <w:jc w:val="both"/>
        <w:rPr>
          <w:rFonts w:ascii="Arial" w:eastAsia="Arial" w:hAnsi="Arial" w:cs="Arial"/>
          <w:b/>
          <w:color w:val="000000"/>
        </w:rPr>
      </w:pPr>
    </w:p>
    <w:p w14:paraId="1DD7BBFF" w14:textId="2862CF51" w:rsidR="00DC61FE" w:rsidRPr="00937D7C" w:rsidRDefault="00DC61FE" w:rsidP="00DC61FE">
      <w:pPr>
        <w:numPr>
          <w:ilvl w:val="0"/>
          <w:numId w:val="1"/>
        </w:numPr>
        <w:pBdr>
          <w:top w:val="nil"/>
          <w:left w:val="nil"/>
          <w:bottom w:val="nil"/>
          <w:right w:val="nil"/>
          <w:between w:val="nil"/>
        </w:pBdr>
        <w:spacing w:after="0" w:line="240" w:lineRule="auto"/>
        <w:jc w:val="both"/>
        <w:rPr>
          <w:rFonts w:ascii="Arial" w:eastAsia="Arial" w:hAnsi="Arial" w:cs="Arial"/>
          <w:b/>
          <w:color w:val="000000"/>
        </w:rPr>
      </w:pPr>
      <w:r w:rsidRPr="00937D7C">
        <w:rPr>
          <w:rFonts w:ascii="Arial" w:eastAsia="Arial" w:hAnsi="Arial" w:cs="Arial"/>
          <w:b/>
          <w:color w:val="000000"/>
        </w:rPr>
        <w:t>El convenio contempla también la colaboración en iniciativas de voluntariado ambiental y acciones de formación y divulgación</w:t>
      </w:r>
    </w:p>
    <w:p w14:paraId="0CB7848B" w14:textId="77777777" w:rsidR="00DC61FE" w:rsidRPr="00937D7C" w:rsidRDefault="00DC61FE" w:rsidP="00937D7C">
      <w:pPr>
        <w:pBdr>
          <w:top w:val="nil"/>
          <w:left w:val="nil"/>
          <w:bottom w:val="nil"/>
          <w:right w:val="nil"/>
          <w:between w:val="nil"/>
        </w:pBdr>
        <w:spacing w:after="0" w:line="240" w:lineRule="auto"/>
        <w:ind w:left="720"/>
        <w:jc w:val="both"/>
        <w:rPr>
          <w:rFonts w:ascii="Arial" w:eastAsia="Arial" w:hAnsi="Arial" w:cs="Arial"/>
          <w:b/>
          <w:color w:val="000000"/>
        </w:rPr>
      </w:pPr>
    </w:p>
    <w:p w14:paraId="7A605354" w14:textId="53B95422" w:rsidR="00651016" w:rsidRPr="00937D7C" w:rsidRDefault="33230055" w:rsidP="36C5F537">
      <w:pPr>
        <w:numPr>
          <w:ilvl w:val="0"/>
          <w:numId w:val="1"/>
        </w:numPr>
        <w:spacing w:after="0" w:line="240" w:lineRule="auto"/>
        <w:jc w:val="both"/>
        <w:rPr>
          <w:rFonts w:ascii="Arial" w:eastAsia="Arial" w:hAnsi="Arial" w:cs="Arial"/>
          <w:b/>
          <w:bCs/>
        </w:rPr>
      </w:pPr>
      <w:r w:rsidRPr="36C5F537">
        <w:rPr>
          <w:rFonts w:ascii="Arial" w:eastAsia="Arial" w:hAnsi="Arial" w:cs="Arial"/>
          <w:b/>
          <w:bCs/>
        </w:rPr>
        <w:t xml:space="preserve">Ambas entidades </w:t>
      </w:r>
      <w:r w:rsidR="09F95D32" w:rsidRPr="36C5F537">
        <w:rPr>
          <w:rFonts w:ascii="Arial" w:eastAsia="Arial" w:hAnsi="Arial" w:cs="Arial"/>
          <w:b/>
          <w:bCs/>
        </w:rPr>
        <w:t xml:space="preserve">apoyan </w:t>
      </w:r>
      <w:proofErr w:type="spellStart"/>
      <w:r w:rsidRPr="36C5F537">
        <w:rPr>
          <w:rFonts w:ascii="Arial" w:eastAsia="Arial" w:hAnsi="Arial" w:cs="Arial"/>
          <w:b/>
          <w:bCs/>
        </w:rPr>
        <w:t>GeoFest</w:t>
      </w:r>
      <w:proofErr w:type="spellEnd"/>
      <w:r w:rsidRPr="36C5F537">
        <w:rPr>
          <w:rFonts w:ascii="Arial" w:eastAsia="Arial" w:hAnsi="Arial" w:cs="Arial"/>
          <w:b/>
          <w:bCs/>
        </w:rPr>
        <w:t>, una propuesta multidisciplinar que reúne música, teatro, artes plásticas y literatura en un entorno único</w:t>
      </w:r>
    </w:p>
    <w:p w14:paraId="40661A65" w14:textId="77777777" w:rsidR="00651016" w:rsidRDefault="00651016" w:rsidP="00651016">
      <w:pPr>
        <w:spacing w:after="0" w:line="240" w:lineRule="auto"/>
        <w:ind w:left="720"/>
        <w:jc w:val="both"/>
        <w:rPr>
          <w:rFonts w:ascii="Arial" w:eastAsia="Arial" w:hAnsi="Arial" w:cs="Arial"/>
          <w:b/>
        </w:rPr>
      </w:pPr>
    </w:p>
    <w:p w14:paraId="79C73D1D" w14:textId="06B9D0EA" w:rsidR="00DC61FE" w:rsidRPr="00DC61FE" w:rsidRDefault="006123EF" w:rsidP="00DC61FE">
      <w:pPr>
        <w:jc w:val="both"/>
        <w:rPr>
          <w:rFonts w:ascii="Arial" w:eastAsia="Arial" w:hAnsi="Arial" w:cs="Arial"/>
        </w:rPr>
      </w:pPr>
      <w:r>
        <w:rPr>
          <w:rFonts w:ascii="Arial" w:eastAsia="Arial" w:hAnsi="Arial" w:cs="Arial"/>
          <w:b/>
        </w:rPr>
        <w:t xml:space="preserve">Aguilar de Campoo, </w:t>
      </w:r>
      <w:r w:rsidR="00311B2C">
        <w:rPr>
          <w:rFonts w:ascii="Arial" w:eastAsia="Arial" w:hAnsi="Arial" w:cs="Arial"/>
          <w:b/>
        </w:rPr>
        <w:t>30</w:t>
      </w:r>
      <w:r>
        <w:rPr>
          <w:rFonts w:ascii="Arial" w:eastAsia="Arial" w:hAnsi="Arial" w:cs="Arial"/>
          <w:b/>
        </w:rPr>
        <w:t xml:space="preserve"> de septiembre de 202</w:t>
      </w:r>
      <w:r w:rsidR="00DC61FE">
        <w:rPr>
          <w:rFonts w:ascii="Arial" w:eastAsia="Arial" w:hAnsi="Arial" w:cs="Arial"/>
          <w:b/>
        </w:rPr>
        <w:t>6</w:t>
      </w:r>
      <w:r>
        <w:rPr>
          <w:rFonts w:ascii="Arial" w:eastAsia="Arial" w:hAnsi="Arial" w:cs="Arial"/>
          <w:b/>
        </w:rPr>
        <w:t>.</w:t>
      </w:r>
      <w:r>
        <w:rPr>
          <w:rFonts w:ascii="Arial" w:eastAsia="Arial" w:hAnsi="Arial" w:cs="Arial"/>
        </w:rPr>
        <w:t xml:space="preserve"> </w:t>
      </w:r>
      <w:r w:rsidR="00DC61FE" w:rsidRPr="00DC61FE">
        <w:rPr>
          <w:rFonts w:ascii="Arial" w:eastAsia="Arial" w:hAnsi="Arial" w:cs="Arial"/>
        </w:rPr>
        <w:t xml:space="preserve">Galletas Gullón, en el marco de su compromiso con la protección y dinamización de su entorno, ha renovado por sexto año consecutivo su colaboración con la </w:t>
      </w:r>
      <w:hyperlink r:id="rId11" w:history="1">
        <w:r w:rsidR="00DC61FE" w:rsidRPr="00926E4B">
          <w:rPr>
            <w:rStyle w:val="Hipervnculo"/>
            <w:rFonts w:ascii="Arial" w:eastAsia="Arial" w:hAnsi="Arial" w:cs="Arial"/>
          </w:rPr>
          <w:t>Asociación para la Reserva Geológica de Las Loras (ARGEOL)</w:t>
        </w:r>
      </w:hyperlink>
      <w:r w:rsidR="00DC61FE" w:rsidRPr="00DC61FE">
        <w:rPr>
          <w:rFonts w:ascii="Arial" w:eastAsia="Arial" w:hAnsi="Arial" w:cs="Arial"/>
        </w:rPr>
        <w:t xml:space="preserve"> para continuar impulsando la investigación, la conservación y la puesta en valor del patrimonio natural y cultural del Geoparque Mundial UNESCO Las Loras.</w:t>
      </w:r>
    </w:p>
    <w:p w14:paraId="39B95B88" w14:textId="40E36CED" w:rsidR="00DC61FE" w:rsidRPr="00DC61FE" w:rsidRDefault="00DC61FE" w:rsidP="00DC61FE">
      <w:pPr>
        <w:jc w:val="both"/>
        <w:rPr>
          <w:rFonts w:ascii="Arial" w:eastAsia="Arial" w:hAnsi="Arial" w:cs="Arial"/>
        </w:rPr>
      </w:pPr>
      <w:r w:rsidRPr="00DC61FE">
        <w:rPr>
          <w:rFonts w:ascii="Arial" w:eastAsia="Arial" w:hAnsi="Arial" w:cs="Arial"/>
        </w:rPr>
        <w:t>El nuevo convenio</w:t>
      </w:r>
      <w:r w:rsidR="00937D7C">
        <w:rPr>
          <w:rFonts w:ascii="Arial" w:eastAsia="Arial" w:hAnsi="Arial" w:cs="Arial"/>
        </w:rPr>
        <w:t xml:space="preserve"> </w:t>
      </w:r>
      <w:r w:rsidRPr="00DC61FE">
        <w:rPr>
          <w:rFonts w:ascii="Arial" w:eastAsia="Arial" w:hAnsi="Arial" w:cs="Arial"/>
        </w:rPr>
        <w:t>da continuidad a una colaboración iniciada en 2021</w:t>
      </w:r>
      <w:r w:rsidR="00937D7C">
        <w:rPr>
          <w:rFonts w:ascii="Arial" w:eastAsia="Arial" w:hAnsi="Arial" w:cs="Arial"/>
        </w:rPr>
        <w:t xml:space="preserve">, contemplando además </w:t>
      </w:r>
      <w:r w:rsidR="00502C2E">
        <w:rPr>
          <w:rFonts w:ascii="Arial" w:eastAsia="Arial" w:hAnsi="Arial" w:cs="Arial"/>
        </w:rPr>
        <w:t xml:space="preserve">la financiación de una </w:t>
      </w:r>
      <w:r w:rsidR="00937D7C">
        <w:rPr>
          <w:rFonts w:ascii="Arial" w:eastAsia="Arial" w:hAnsi="Arial" w:cs="Arial"/>
        </w:rPr>
        <w:t xml:space="preserve">nueva edición </w:t>
      </w:r>
      <w:r w:rsidR="00937D7C" w:rsidRPr="00937D7C">
        <w:rPr>
          <w:rFonts w:ascii="Arial" w:eastAsia="Arial" w:hAnsi="Arial" w:cs="Arial"/>
        </w:rPr>
        <w:t>de la Beca-Ayuda Gullón a la investigación</w:t>
      </w:r>
      <w:r w:rsidRPr="00DC61FE">
        <w:rPr>
          <w:rFonts w:ascii="Arial" w:eastAsia="Arial" w:hAnsi="Arial" w:cs="Arial"/>
        </w:rPr>
        <w:t xml:space="preserve">. </w:t>
      </w:r>
      <w:r w:rsidR="00502C2E">
        <w:rPr>
          <w:rFonts w:ascii="Arial" w:eastAsia="Arial" w:hAnsi="Arial" w:cs="Arial"/>
        </w:rPr>
        <w:t>De este modo, e</w:t>
      </w:r>
      <w:r w:rsidRPr="00DC61FE">
        <w:rPr>
          <w:rFonts w:ascii="Arial" w:eastAsia="Arial" w:hAnsi="Arial" w:cs="Arial"/>
        </w:rPr>
        <w:t>l acuerdo permitirá apoyar proyectos vinculados al patrimonio natural y cultural del Geoparque, la investigación medioambiental, geológica y sobre biodiversidad, los estudios sociales y ambientales del territorio, la planificación territorial y la sostenibilidad, así como la mejora de la calidad de vida y el papel de los instrumentos sociales ante el reto de la sostenibilidad.</w:t>
      </w:r>
    </w:p>
    <w:p w14:paraId="73E46D17" w14:textId="6FD68D7F" w:rsidR="00DC61FE" w:rsidRPr="00DC61FE" w:rsidRDefault="00DC61FE" w:rsidP="00DC61FE">
      <w:pPr>
        <w:jc w:val="both"/>
        <w:rPr>
          <w:rFonts w:ascii="Arial" w:eastAsia="Arial" w:hAnsi="Arial" w:cs="Arial"/>
        </w:rPr>
      </w:pPr>
      <w:r w:rsidRPr="00DC61FE">
        <w:rPr>
          <w:rFonts w:ascii="Arial" w:eastAsia="Arial" w:hAnsi="Arial" w:cs="Arial"/>
        </w:rPr>
        <w:t xml:space="preserve">La colaboración entre ambas entidades se extiende además a iniciativas de voluntariado ambiental, con acciones como la reforestación, la limpieza de bosques o la recuperación y conservación del patrimonio natural y cultural del Geoparque. </w:t>
      </w:r>
      <w:r w:rsidR="00502C2E">
        <w:rPr>
          <w:rFonts w:ascii="Arial" w:eastAsia="Arial" w:hAnsi="Arial" w:cs="Arial"/>
        </w:rPr>
        <w:t>Además</w:t>
      </w:r>
      <w:r w:rsidRPr="00DC61FE">
        <w:rPr>
          <w:rFonts w:ascii="Arial" w:eastAsia="Arial" w:hAnsi="Arial" w:cs="Arial"/>
        </w:rPr>
        <w:t>, el convenio contempla la colaboración en la organización de conferencias, charlas y jornadas formativas, contribuyendo a acercar el conocimiento sobre este espacio a la sociedad.</w:t>
      </w:r>
    </w:p>
    <w:p w14:paraId="574D3986" w14:textId="3E0DB9D6" w:rsidR="00DC61FE" w:rsidRPr="00DC61FE" w:rsidRDefault="00937D7C" w:rsidP="00DC61FE">
      <w:pPr>
        <w:jc w:val="both"/>
        <w:rPr>
          <w:rFonts w:ascii="Arial" w:eastAsia="Arial" w:hAnsi="Arial" w:cs="Arial"/>
        </w:rPr>
      </w:pPr>
      <w:r>
        <w:rPr>
          <w:rFonts w:ascii="Arial" w:eastAsia="Arial" w:hAnsi="Arial" w:cs="Arial"/>
        </w:rPr>
        <w:t>Según</w:t>
      </w:r>
      <w:r w:rsidR="00DC61FE" w:rsidRPr="00DC61FE">
        <w:rPr>
          <w:rFonts w:ascii="Arial" w:eastAsia="Arial" w:hAnsi="Arial" w:cs="Arial"/>
        </w:rPr>
        <w:t xml:space="preserve"> </w:t>
      </w:r>
      <w:r w:rsidR="0089294B">
        <w:rPr>
          <w:rFonts w:ascii="Arial" w:eastAsia="Arial" w:hAnsi="Arial" w:cs="Arial"/>
        </w:rPr>
        <w:t>David Casañ</w:t>
      </w:r>
      <w:r w:rsidR="00DC61FE" w:rsidRPr="00DC61FE">
        <w:rPr>
          <w:rFonts w:ascii="Arial" w:eastAsia="Arial" w:hAnsi="Arial" w:cs="Arial"/>
        </w:rPr>
        <w:t xml:space="preserve">, </w:t>
      </w:r>
      <w:r w:rsidR="00B72E26">
        <w:rPr>
          <w:rFonts w:ascii="Arial" w:eastAsia="Arial" w:hAnsi="Arial" w:cs="Arial"/>
        </w:rPr>
        <w:t>director Corporativo</w:t>
      </w:r>
      <w:r w:rsidR="00DC61FE" w:rsidRPr="00DC61FE">
        <w:rPr>
          <w:rFonts w:ascii="Arial" w:eastAsia="Arial" w:hAnsi="Arial" w:cs="Arial"/>
        </w:rPr>
        <w:t xml:space="preserve"> de Galletas Gullón, </w:t>
      </w:r>
      <w:r w:rsidR="00DC61FE" w:rsidRPr="00502C2E">
        <w:rPr>
          <w:rFonts w:ascii="Arial" w:eastAsia="Arial" w:hAnsi="Arial" w:cs="Arial"/>
          <w:i/>
          <w:iCs/>
        </w:rPr>
        <w:t>“renovar un año más nuestra colaboración con el Geoparque Las Loras supone reafirmar nuestro compromiso con un territorio al que</w:t>
      </w:r>
      <w:r w:rsidR="00502C2E">
        <w:rPr>
          <w:rFonts w:ascii="Arial" w:eastAsia="Arial" w:hAnsi="Arial" w:cs="Arial"/>
          <w:i/>
          <w:iCs/>
        </w:rPr>
        <w:t xml:space="preserve"> nos sentimos</w:t>
      </w:r>
      <w:r w:rsidR="00DC61FE" w:rsidRPr="00502C2E">
        <w:rPr>
          <w:rFonts w:ascii="Arial" w:eastAsia="Arial" w:hAnsi="Arial" w:cs="Arial"/>
          <w:i/>
          <w:iCs/>
        </w:rPr>
        <w:t xml:space="preserve"> profundamente vinculados. La investigación, la conservación del patrimonio y la educación ambiental son herramientas fundamentales para conocer, proteger y poner en valor nuestro entorno, y queremos </w:t>
      </w:r>
      <w:r w:rsidR="00DC61FE" w:rsidRPr="00502C2E">
        <w:rPr>
          <w:rFonts w:ascii="Arial" w:eastAsia="Arial" w:hAnsi="Arial" w:cs="Arial"/>
          <w:i/>
          <w:iCs/>
        </w:rPr>
        <w:lastRenderedPageBreak/>
        <w:t>seguir contribuyendo a que Las Loras continúe siendo un espacio de referencia tanto desde el punto de vista científico como natural, cultural y social</w:t>
      </w:r>
      <w:r w:rsidR="00DC61FE" w:rsidRPr="00DC61FE">
        <w:rPr>
          <w:rFonts w:ascii="Arial" w:eastAsia="Arial" w:hAnsi="Arial" w:cs="Arial"/>
        </w:rPr>
        <w:t>”.</w:t>
      </w:r>
    </w:p>
    <w:p w14:paraId="6E671F64" w14:textId="77777777" w:rsidR="00DC61FE" w:rsidRPr="00DC61FE" w:rsidRDefault="00DC61FE" w:rsidP="00DC61FE">
      <w:pPr>
        <w:jc w:val="both"/>
        <w:rPr>
          <w:rFonts w:ascii="Arial" w:eastAsia="Arial" w:hAnsi="Arial" w:cs="Arial"/>
        </w:rPr>
      </w:pPr>
      <w:r w:rsidRPr="00DC61FE">
        <w:rPr>
          <w:rFonts w:ascii="Arial" w:eastAsia="Arial" w:hAnsi="Arial" w:cs="Arial"/>
        </w:rPr>
        <w:t>Por su parte, José Ángel Sánchez Fabián, director científico del Geoparque UNESCO Las Loras, ha destacado que “</w:t>
      </w:r>
      <w:r w:rsidRPr="00502C2E">
        <w:rPr>
          <w:rFonts w:ascii="Arial" w:eastAsia="Arial" w:hAnsi="Arial" w:cs="Arial"/>
          <w:i/>
          <w:iCs/>
        </w:rPr>
        <w:t>la continuidad de esta colaboración durante seis años demuestra la importancia de la implicación del tejido empresarial en la investigación y conservación del territorio. El apoyo de Galletas Gullón nos permite seguir impulsando proyectos que generan conocimiento sobre Las Loras y que contribuyen a divulgar y proteger un patrimonio de enorme valor”</w:t>
      </w:r>
      <w:r w:rsidRPr="00DC61FE">
        <w:rPr>
          <w:rFonts w:ascii="Arial" w:eastAsia="Arial" w:hAnsi="Arial" w:cs="Arial"/>
        </w:rPr>
        <w:t>.</w:t>
      </w:r>
    </w:p>
    <w:p w14:paraId="0D62F805" w14:textId="77777777" w:rsidR="00DC61FE" w:rsidRPr="00502C2E" w:rsidRDefault="00DC61FE" w:rsidP="00DC61FE">
      <w:pPr>
        <w:jc w:val="both"/>
        <w:rPr>
          <w:rFonts w:ascii="Arial" w:eastAsia="Arial" w:hAnsi="Arial" w:cs="Arial"/>
          <w:b/>
          <w:bCs/>
        </w:rPr>
      </w:pPr>
      <w:r w:rsidRPr="00502C2E">
        <w:rPr>
          <w:rFonts w:ascii="Arial" w:eastAsia="Arial" w:hAnsi="Arial" w:cs="Arial"/>
          <w:b/>
          <w:bCs/>
        </w:rPr>
        <w:t>Una nueva convocatoria para impulsar la investigación</w:t>
      </w:r>
    </w:p>
    <w:p w14:paraId="0D4C0638" w14:textId="2FD9B778" w:rsidR="00DC61FE" w:rsidRPr="00DC61FE" w:rsidRDefault="00DC61FE" w:rsidP="00DC61FE">
      <w:pPr>
        <w:jc w:val="both"/>
        <w:rPr>
          <w:rFonts w:ascii="Arial" w:eastAsia="Arial" w:hAnsi="Arial" w:cs="Arial"/>
        </w:rPr>
      </w:pPr>
      <w:r w:rsidRPr="00DC61FE">
        <w:rPr>
          <w:rFonts w:ascii="Arial" w:eastAsia="Arial" w:hAnsi="Arial" w:cs="Arial"/>
        </w:rPr>
        <w:t>La Beca-Ayuda Gullón a la investigación en el Geoparque Mundial UNESCO Las Loras 2026-2027 contará con una dotación máxima de 4.000 euros</w:t>
      </w:r>
      <w:r w:rsidR="001361B3">
        <w:rPr>
          <w:rFonts w:ascii="Arial" w:eastAsia="Arial" w:hAnsi="Arial" w:cs="Arial"/>
        </w:rPr>
        <w:t xml:space="preserve"> </w:t>
      </w:r>
      <w:r w:rsidRPr="00DC61FE">
        <w:rPr>
          <w:rFonts w:ascii="Arial" w:eastAsia="Arial" w:hAnsi="Arial" w:cs="Arial"/>
        </w:rPr>
        <w:t>que se abonará en dos partes: el 50% en el momento de la adjudicación y el 50% restante tras la entrega y aprobación del trabajo por parte del Geoparque.</w:t>
      </w:r>
    </w:p>
    <w:p w14:paraId="1E6CBA51" w14:textId="0D486224" w:rsidR="00DC61FE" w:rsidRPr="00DC61FE" w:rsidRDefault="00DC61FE" w:rsidP="00DC61FE">
      <w:pPr>
        <w:jc w:val="both"/>
        <w:rPr>
          <w:rFonts w:ascii="Arial" w:eastAsia="Arial" w:hAnsi="Arial" w:cs="Arial"/>
        </w:rPr>
      </w:pPr>
      <w:r w:rsidRPr="00DC61FE">
        <w:rPr>
          <w:rFonts w:ascii="Arial" w:eastAsia="Arial" w:hAnsi="Arial" w:cs="Arial"/>
        </w:rPr>
        <w:t xml:space="preserve">La convocatoria está dirigida </w:t>
      </w:r>
      <w:r w:rsidR="00502C2E">
        <w:rPr>
          <w:rFonts w:ascii="Arial" w:eastAsia="Arial" w:hAnsi="Arial" w:cs="Arial"/>
        </w:rPr>
        <w:t>tanto a</w:t>
      </w:r>
      <w:r w:rsidRPr="00DC61FE">
        <w:rPr>
          <w:rFonts w:ascii="Arial" w:eastAsia="Arial" w:hAnsi="Arial" w:cs="Arial"/>
        </w:rPr>
        <w:t xml:space="preserve"> personas físicas </w:t>
      </w:r>
      <w:r w:rsidR="00502C2E">
        <w:rPr>
          <w:rFonts w:ascii="Arial" w:eastAsia="Arial" w:hAnsi="Arial" w:cs="Arial"/>
        </w:rPr>
        <w:t>como</w:t>
      </w:r>
      <w:r w:rsidRPr="00DC61FE">
        <w:rPr>
          <w:rFonts w:ascii="Arial" w:eastAsia="Arial" w:hAnsi="Arial" w:cs="Arial"/>
        </w:rPr>
        <w:t xml:space="preserve"> jurídicas, como asociaciones legalmente constituidas o equipos de investigación con capacidad para emitir facturas por el trabajo realizado. Los proyectos deberán ser originales o inéditos y estar relacionados con alguno de los ámbitos contemplados en las bases de la convocatoria.</w:t>
      </w:r>
    </w:p>
    <w:p w14:paraId="144139B8" w14:textId="77777777" w:rsidR="00DC61FE" w:rsidRPr="00DC61FE" w:rsidRDefault="00DC61FE" w:rsidP="00DC61FE">
      <w:pPr>
        <w:jc w:val="both"/>
        <w:rPr>
          <w:rFonts w:ascii="Arial" w:eastAsia="Arial" w:hAnsi="Arial" w:cs="Arial"/>
        </w:rPr>
      </w:pPr>
      <w:r w:rsidRPr="00DC61FE">
        <w:rPr>
          <w:rFonts w:ascii="Arial" w:eastAsia="Arial" w:hAnsi="Arial" w:cs="Arial"/>
        </w:rPr>
        <w:t>Entre los criterios que tendrá en cuenta la comisión encargada de valorar las propuestas figuran los contenidos de los proyectos, su metodología, proyección de futuro, carácter divulgador y repercusión en el Geoparque, el carácter innovador y la composición de equipos paritarios. Además, se priorizarán aquellas líneas de investigación que no hayan sido objeto de ayudas en convocatorias anteriores.</w:t>
      </w:r>
    </w:p>
    <w:p w14:paraId="09691EF4" w14:textId="77777777" w:rsidR="00DC61FE" w:rsidRPr="00DC61FE" w:rsidRDefault="00DC61FE" w:rsidP="00DC61FE">
      <w:pPr>
        <w:jc w:val="both"/>
        <w:rPr>
          <w:rFonts w:ascii="Arial" w:eastAsia="Arial" w:hAnsi="Arial" w:cs="Arial"/>
        </w:rPr>
      </w:pPr>
      <w:r w:rsidRPr="00DC61FE">
        <w:rPr>
          <w:rFonts w:ascii="Arial" w:eastAsia="Arial" w:hAnsi="Arial" w:cs="Arial"/>
        </w:rPr>
        <w:t>El plazo de presentación de solicitudes se abrirá el 30 de septiembre y permanecerá abierto hasta el 30 de octubre de 2026 a las 14:00 horas. La resolución se producirá como máximo el 10 de noviembre de 2026. Los proyectos seleccionados se desarrollarán entre noviembre de 2026 y agosto de 2027 y sus resultados se presentarán públicamente antes del 30 de septiembre de 2027.</w:t>
      </w:r>
    </w:p>
    <w:p w14:paraId="256C7BC0" w14:textId="0A4EDFC4" w:rsidR="00502C2E" w:rsidRPr="00502C2E" w:rsidRDefault="00502C2E" w:rsidP="00502C2E">
      <w:pPr>
        <w:jc w:val="both"/>
        <w:rPr>
          <w:rFonts w:ascii="Arial" w:eastAsia="Arial" w:hAnsi="Arial" w:cs="Arial"/>
        </w:rPr>
      </w:pPr>
      <w:r w:rsidRPr="00502C2E">
        <w:rPr>
          <w:rFonts w:ascii="Arial" w:eastAsia="Arial" w:hAnsi="Arial" w:cs="Arial"/>
        </w:rPr>
        <w:t xml:space="preserve">En la edición de 2025, </w:t>
      </w:r>
      <w:r w:rsidR="001361B3">
        <w:rPr>
          <w:rFonts w:ascii="Arial" w:eastAsia="Arial" w:hAnsi="Arial" w:cs="Arial"/>
        </w:rPr>
        <w:t xml:space="preserve">esta ayuda </w:t>
      </w:r>
      <w:r w:rsidRPr="00502C2E">
        <w:rPr>
          <w:rFonts w:ascii="Arial" w:eastAsia="Arial" w:hAnsi="Arial" w:cs="Arial"/>
        </w:rPr>
        <w:t>fue concedida al biólogo y divulgador ambiental Florent Prunier, que desarrolló un estudio sobre los insectos ortópteros</w:t>
      </w:r>
      <w:r>
        <w:rPr>
          <w:rFonts w:ascii="Arial" w:eastAsia="Arial" w:hAnsi="Arial" w:cs="Arial"/>
        </w:rPr>
        <w:t xml:space="preserve">, </w:t>
      </w:r>
      <w:r w:rsidRPr="00502C2E">
        <w:rPr>
          <w:rFonts w:ascii="Arial" w:eastAsia="Arial" w:hAnsi="Arial" w:cs="Arial"/>
        </w:rPr>
        <w:t>como saltamontes, grillos y langostas</w:t>
      </w:r>
      <w:r>
        <w:rPr>
          <w:rFonts w:ascii="Arial" w:eastAsia="Arial" w:hAnsi="Arial" w:cs="Arial"/>
        </w:rPr>
        <w:t xml:space="preserve">, </w:t>
      </w:r>
      <w:r w:rsidRPr="00502C2E">
        <w:rPr>
          <w:rFonts w:ascii="Arial" w:eastAsia="Arial" w:hAnsi="Arial" w:cs="Arial"/>
        </w:rPr>
        <w:t xml:space="preserve">presentes en el Geoparque. </w:t>
      </w:r>
      <w:r>
        <w:rPr>
          <w:rFonts w:ascii="Arial" w:eastAsia="Arial" w:hAnsi="Arial" w:cs="Arial"/>
        </w:rPr>
        <w:t xml:space="preserve">Gracias a este </w:t>
      </w:r>
      <w:r w:rsidRPr="00502C2E">
        <w:rPr>
          <w:rFonts w:ascii="Arial" w:eastAsia="Arial" w:hAnsi="Arial" w:cs="Arial"/>
        </w:rPr>
        <w:t>proyecto</w:t>
      </w:r>
      <w:r>
        <w:rPr>
          <w:rFonts w:ascii="Arial" w:eastAsia="Arial" w:hAnsi="Arial" w:cs="Arial"/>
        </w:rPr>
        <w:t xml:space="preserve"> ha sido posible </w:t>
      </w:r>
      <w:r w:rsidRPr="00502C2E">
        <w:rPr>
          <w:rFonts w:ascii="Arial" w:eastAsia="Arial" w:hAnsi="Arial" w:cs="Arial"/>
        </w:rPr>
        <w:t>avanzar en la elaboración de un inventario entomológico de Las Loras, con especial atención a este grupo de insectos y a su importancia para el conocimiento y la conservación de la biodiversidad del territorio.</w:t>
      </w:r>
    </w:p>
    <w:p w14:paraId="55E95A7C" w14:textId="439F1F11" w:rsidR="00DC61FE" w:rsidRPr="00502C2E" w:rsidRDefault="00DC61FE" w:rsidP="00DC61FE">
      <w:pPr>
        <w:jc w:val="both"/>
        <w:rPr>
          <w:rFonts w:ascii="Arial" w:eastAsia="Arial" w:hAnsi="Arial" w:cs="Arial"/>
          <w:b/>
          <w:bCs/>
        </w:rPr>
      </w:pPr>
      <w:r w:rsidRPr="00502C2E">
        <w:rPr>
          <w:rFonts w:ascii="Arial" w:eastAsia="Arial" w:hAnsi="Arial" w:cs="Arial"/>
          <w:b/>
          <w:bCs/>
        </w:rPr>
        <w:t>Investigación, conservación y desarrollo sostenible</w:t>
      </w:r>
    </w:p>
    <w:p w14:paraId="00A60101" w14:textId="77777777" w:rsidR="00DC61FE" w:rsidRPr="00DC61FE" w:rsidRDefault="658A759E" w:rsidP="00DC61FE">
      <w:pPr>
        <w:jc w:val="both"/>
        <w:rPr>
          <w:rFonts w:ascii="Arial" w:eastAsia="Arial" w:hAnsi="Arial" w:cs="Arial"/>
        </w:rPr>
      </w:pPr>
      <w:r w:rsidRPr="36C5F537">
        <w:rPr>
          <w:rFonts w:ascii="Arial" w:eastAsia="Arial" w:hAnsi="Arial" w:cs="Arial"/>
        </w:rPr>
        <w:t xml:space="preserve">La colaboración entre Galletas Gullón y ARGEOL se enmarca en el compromiso de ambas entidades con la conservación, investigación y divulgación del patrimonio de Las Loras. El Geoparque Mundial UNESCO Las Loras forma parte desde 2017 de las redes </w:t>
      </w:r>
      <w:proofErr w:type="gramStart"/>
      <w:r w:rsidRPr="36C5F537">
        <w:rPr>
          <w:rFonts w:ascii="Arial" w:eastAsia="Arial" w:hAnsi="Arial" w:cs="Arial"/>
        </w:rPr>
        <w:t>Europea</w:t>
      </w:r>
      <w:proofErr w:type="gramEnd"/>
      <w:r w:rsidRPr="36C5F537">
        <w:rPr>
          <w:rFonts w:ascii="Arial" w:eastAsia="Arial" w:hAnsi="Arial" w:cs="Arial"/>
        </w:rPr>
        <w:t xml:space="preserve"> y Mundial de Geoparques y desarrolla actividades relacionadas con la protección del patrimonio geológico, el geoturismo, la educación ambiental, la investigación, la </w:t>
      </w:r>
      <w:proofErr w:type="spellStart"/>
      <w:r w:rsidRPr="36C5F537">
        <w:rPr>
          <w:rFonts w:ascii="Arial" w:eastAsia="Arial" w:hAnsi="Arial" w:cs="Arial"/>
        </w:rPr>
        <w:t>geoconservación</w:t>
      </w:r>
      <w:proofErr w:type="spellEnd"/>
      <w:r w:rsidRPr="36C5F537">
        <w:rPr>
          <w:rFonts w:ascii="Arial" w:eastAsia="Arial" w:hAnsi="Arial" w:cs="Arial"/>
        </w:rPr>
        <w:t xml:space="preserve"> y el desarrollo rural.</w:t>
      </w:r>
    </w:p>
    <w:p w14:paraId="2738A6BF" w14:textId="77777777" w:rsidR="00DC61FE" w:rsidRPr="00DC61FE" w:rsidRDefault="00DC61FE" w:rsidP="00DC61FE">
      <w:pPr>
        <w:jc w:val="both"/>
        <w:rPr>
          <w:rFonts w:ascii="Arial" w:eastAsia="Arial" w:hAnsi="Arial" w:cs="Arial"/>
        </w:rPr>
      </w:pPr>
      <w:r w:rsidRPr="00DC61FE">
        <w:rPr>
          <w:rFonts w:ascii="Arial" w:eastAsia="Arial" w:hAnsi="Arial" w:cs="Arial"/>
        </w:rPr>
        <w:t xml:space="preserve">El convenio suscrito este año refuerza esta visión integral del territorio y establece diferentes ámbitos de colaboración, desde el impulso de proyectos de investigación </w:t>
      </w:r>
      <w:r w:rsidRPr="00DC61FE">
        <w:rPr>
          <w:rFonts w:ascii="Arial" w:eastAsia="Arial" w:hAnsi="Arial" w:cs="Arial"/>
        </w:rPr>
        <w:lastRenderedPageBreak/>
        <w:t>hasta el desarrollo de acciones de voluntariado ambiental y actividades formativas. De esta manera, Galletas Gullón y ARGEOL continúan trabajando conjuntamente para contribuir a la conservación del patrimonio natural y cultural, favorecer la generación y divulgación de conocimiento y promover un desarrollo sostenible del territorio.</w:t>
      </w:r>
    </w:p>
    <w:p w14:paraId="32D43BEF" w14:textId="77652525" w:rsidR="00502C2E" w:rsidRDefault="00502C2E" w:rsidP="00502C2E">
      <w:pPr>
        <w:jc w:val="both"/>
        <w:rPr>
          <w:rFonts w:ascii="Arial" w:eastAsia="Arial" w:hAnsi="Arial" w:cs="Arial"/>
        </w:rPr>
      </w:pPr>
      <w:r w:rsidRPr="00502C2E">
        <w:rPr>
          <w:rFonts w:ascii="Arial" w:eastAsia="Arial" w:hAnsi="Arial" w:cs="Arial"/>
        </w:rPr>
        <w:t xml:space="preserve">Ambas entidades colaboran en el </w:t>
      </w:r>
      <w:proofErr w:type="spellStart"/>
      <w:r w:rsidRPr="00502C2E">
        <w:rPr>
          <w:rFonts w:ascii="Arial" w:eastAsia="Arial" w:hAnsi="Arial" w:cs="Arial"/>
        </w:rPr>
        <w:t>Geofestival</w:t>
      </w:r>
      <w:proofErr w:type="spellEnd"/>
      <w:r w:rsidRPr="00502C2E">
        <w:rPr>
          <w:rFonts w:ascii="Arial" w:eastAsia="Arial" w:hAnsi="Arial" w:cs="Arial"/>
        </w:rPr>
        <w:t xml:space="preserve"> de Artes Escénicas del Geoparque UNESCO Las Loras, más conocido como </w:t>
      </w:r>
      <w:proofErr w:type="spellStart"/>
      <w:r w:rsidRPr="00502C2E">
        <w:rPr>
          <w:rFonts w:ascii="Arial" w:eastAsia="Arial" w:hAnsi="Arial" w:cs="Arial"/>
        </w:rPr>
        <w:t>GeoFest</w:t>
      </w:r>
      <w:proofErr w:type="spellEnd"/>
      <w:r w:rsidRPr="00502C2E">
        <w:rPr>
          <w:rFonts w:ascii="Arial" w:eastAsia="Arial" w:hAnsi="Arial" w:cs="Arial"/>
        </w:rPr>
        <w:t>,</w:t>
      </w:r>
      <w:r>
        <w:rPr>
          <w:rFonts w:ascii="Arial" w:eastAsia="Arial" w:hAnsi="Arial" w:cs="Arial"/>
        </w:rPr>
        <w:t xml:space="preserve"> Esta </w:t>
      </w:r>
      <w:r w:rsidRPr="00502C2E">
        <w:rPr>
          <w:rFonts w:ascii="Arial" w:eastAsia="Arial" w:hAnsi="Arial" w:cs="Arial"/>
        </w:rPr>
        <w:t>propuesta multidisciplinar reúne música, teatro, artes plásticas y literatura en un entorno único</w:t>
      </w:r>
      <w:r w:rsidR="00937D7C">
        <w:rPr>
          <w:rFonts w:ascii="Arial" w:eastAsia="Arial" w:hAnsi="Arial" w:cs="Arial"/>
        </w:rPr>
        <w:t xml:space="preserve">, promoviendo </w:t>
      </w:r>
      <w:r w:rsidRPr="00502C2E">
        <w:rPr>
          <w:rFonts w:ascii="Arial" w:eastAsia="Arial" w:hAnsi="Arial" w:cs="Arial"/>
        </w:rPr>
        <w:t>la participación ciudadana, la dinamización del medio rural y la difusión de la riqueza geológica y paisajística del entorno.</w:t>
      </w:r>
    </w:p>
    <w:p w14:paraId="347DF487" w14:textId="7526A89F" w:rsidR="00DC61FE" w:rsidRDefault="00DC61FE" w:rsidP="00DC61FE">
      <w:pPr>
        <w:jc w:val="both"/>
        <w:rPr>
          <w:rFonts w:ascii="Arial" w:eastAsia="Arial" w:hAnsi="Arial" w:cs="Arial"/>
        </w:rPr>
      </w:pPr>
      <w:r w:rsidRPr="00DC61FE">
        <w:rPr>
          <w:rFonts w:ascii="Arial" w:eastAsia="Arial" w:hAnsi="Arial" w:cs="Arial"/>
        </w:rPr>
        <w:t xml:space="preserve">Esta colaboración se integra en </w:t>
      </w:r>
      <w:r w:rsidR="00502C2E">
        <w:rPr>
          <w:rFonts w:ascii="Arial" w:eastAsia="Arial" w:hAnsi="Arial" w:cs="Arial"/>
        </w:rPr>
        <w:t>el compromiso de Galletas Gullón por su entorno de</w:t>
      </w:r>
      <w:r w:rsidRPr="00DC61FE">
        <w:rPr>
          <w:rFonts w:ascii="Arial" w:eastAsia="Arial" w:hAnsi="Arial" w:cs="Arial"/>
        </w:rPr>
        <w:t xml:space="preserve"> Galletas Gullón, que establece entre sus prioridades la protección de la biodiversidad y del entorno rural, así como la promoción de iniciativas vinculadas al turismo, la cultura y la dinamización del territorio. De este modo, la compañía mantiene su apuesta por generar un impacto positivo en su entorno más próximo y contribuir al desarrollo sostenible de una comarca con la que mantiene una estrecha vinculación.</w:t>
      </w:r>
    </w:p>
    <w:p w14:paraId="0555BBF7" w14:textId="77777777" w:rsidR="00937D7C" w:rsidRDefault="00937D7C" w:rsidP="00937D7C">
      <w:pPr>
        <w:widowControl w:val="0"/>
        <w:autoSpaceDE w:val="0"/>
        <w:autoSpaceDN w:val="0"/>
        <w:spacing w:after="0" w:line="240" w:lineRule="auto"/>
        <w:ind w:left="102"/>
        <w:jc w:val="both"/>
        <w:rPr>
          <w:rFonts w:ascii="Arial" w:eastAsia="Arial" w:hAnsi="Arial" w:cs="Arial"/>
          <w:b/>
          <w:sz w:val="18"/>
        </w:rPr>
      </w:pPr>
    </w:p>
    <w:p w14:paraId="4518A010" w14:textId="77777777" w:rsidR="00937D7C" w:rsidRPr="00EE6DA7" w:rsidRDefault="00937D7C" w:rsidP="00937D7C">
      <w:pPr>
        <w:widowControl w:val="0"/>
        <w:autoSpaceDE w:val="0"/>
        <w:autoSpaceDN w:val="0"/>
        <w:spacing w:after="0" w:line="240" w:lineRule="auto"/>
        <w:ind w:left="102"/>
        <w:jc w:val="both"/>
        <w:rPr>
          <w:rFonts w:ascii="Arial" w:eastAsia="Arial" w:hAnsi="Arial" w:cs="Arial"/>
          <w:b/>
          <w:spacing w:val="-2"/>
          <w:sz w:val="18"/>
        </w:rPr>
      </w:pPr>
      <w:r w:rsidRPr="00EE6DA7">
        <w:rPr>
          <w:rFonts w:ascii="Arial" w:eastAsia="Arial" w:hAnsi="Arial" w:cs="Arial"/>
          <w:b/>
          <w:sz w:val="18"/>
        </w:rPr>
        <w:t>Sobre</w:t>
      </w:r>
      <w:r w:rsidRPr="00EE6DA7">
        <w:rPr>
          <w:rFonts w:ascii="Arial" w:eastAsia="Arial" w:hAnsi="Arial" w:cs="Arial"/>
          <w:b/>
          <w:spacing w:val="-3"/>
          <w:sz w:val="18"/>
        </w:rPr>
        <w:t xml:space="preserve"> </w:t>
      </w:r>
      <w:r w:rsidRPr="00EE6DA7">
        <w:rPr>
          <w:rFonts w:ascii="Arial" w:eastAsia="Arial" w:hAnsi="Arial" w:cs="Arial"/>
          <w:b/>
          <w:sz w:val="18"/>
        </w:rPr>
        <w:t>Galletas</w:t>
      </w:r>
      <w:r w:rsidRPr="00EE6DA7">
        <w:rPr>
          <w:rFonts w:ascii="Arial" w:eastAsia="Arial" w:hAnsi="Arial" w:cs="Arial"/>
          <w:b/>
          <w:spacing w:val="-3"/>
          <w:sz w:val="18"/>
        </w:rPr>
        <w:t xml:space="preserve"> </w:t>
      </w:r>
      <w:r w:rsidRPr="00EE6DA7">
        <w:rPr>
          <w:rFonts w:ascii="Arial" w:eastAsia="Arial" w:hAnsi="Arial" w:cs="Arial"/>
          <w:b/>
          <w:spacing w:val="-2"/>
          <w:sz w:val="18"/>
        </w:rPr>
        <w:t>Gullón</w:t>
      </w:r>
    </w:p>
    <w:p w14:paraId="5CC15B87" w14:textId="77777777" w:rsidR="00937D7C" w:rsidRPr="00EE6DA7" w:rsidRDefault="00937D7C" w:rsidP="00937D7C">
      <w:pPr>
        <w:autoSpaceDN w:val="0"/>
        <w:spacing w:after="0" w:line="240" w:lineRule="auto"/>
        <w:jc w:val="both"/>
        <w:textAlignment w:val="baseline"/>
        <w:rPr>
          <w:rFonts w:ascii="Arial" w:eastAsia="Times New Roman" w:hAnsi="Arial" w:cs="Arial"/>
          <w:sz w:val="24"/>
          <w:szCs w:val="18"/>
        </w:rPr>
      </w:pPr>
    </w:p>
    <w:p w14:paraId="00E14275"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Galletas Gullón es uno de los principales fabricantes de galletas de Europa. Fundada en 1892 es la única empresa galletera familiar centenaria que se mantiene en el sector, presidida por Lourdes Gullón y dirigida por Juan Miguel Martínez Gabaldón. Su constante esfuerzo innovador le ha llevado a situarse como la primera empresa del sector en España y liderar la categoría de ‘galleta-salud’.  </w:t>
      </w:r>
    </w:p>
    <w:p w14:paraId="5CBF3202"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  </w:t>
      </w:r>
    </w:p>
    <w:p w14:paraId="2DEE56B6"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14:paraId="2B815D35"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  </w:t>
      </w:r>
    </w:p>
    <w:p w14:paraId="1CE192F9"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La facturación de Gullón en 2025 superó los 750 millones de euros y, actualmente, genera más de 2.300 puestos de trabajo directos.    </w:t>
      </w:r>
    </w:p>
    <w:p w14:paraId="14D01055"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 </w:t>
      </w:r>
    </w:p>
    <w:p w14:paraId="0D0F575C"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Galletas Gullón enfoca su negocio desde el propósito y la responsabilidad en base a su Plan </w:t>
      </w:r>
      <w:proofErr w:type="gramStart"/>
      <w:r w:rsidRPr="00EE6DA7">
        <w:rPr>
          <w:rFonts w:ascii="Arial" w:eastAsia="Times New Roman" w:hAnsi="Arial" w:cs="Arial"/>
          <w:sz w:val="18"/>
          <w:szCs w:val="18"/>
        </w:rPr>
        <w:t>Director</w:t>
      </w:r>
      <w:proofErr w:type="gramEnd"/>
      <w:r w:rsidRPr="00EE6DA7">
        <w:rPr>
          <w:rFonts w:ascii="Arial" w:eastAsia="Times New Roman" w:hAnsi="Arial" w:cs="Arial"/>
          <w:sz w:val="18"/>
          <w:szCs w:val="18"/>
        </w:rPr>
        <w:t xml:space="preserve"> de Negocio Responsable contribuyendo al cumplimiento de 11 de los 17 Objetivos de Desarrollo Sostenible y por ello, forma parte de la Red Española del Pacto Mundial de las Naciones Unidas y de Forética, la organización empresarial referente en sostenibilidad en España.</w:t>
      </w:r>
    </w:p>
    <w:p w14:paraId="20972D08" w14:textId="77777777" w:rsidR="00937D7C" w:rsidRPr="00EE6DA7" w:rsidRDefault="00937D7C" w:rsidP="00937D7C">
      <w:pPr>
        <w:widowControl w:val="0"/>
        <w:autoSpaceDE w:val="0"/>
        <w:autoSpaceDN w:val="0"/>
        <w:spacing w:after="0" w:line="240" w:lineRule="auto"/>
        <w:ind w:left="102"/>
        <w:jc w:val="both"/>
        <w:rPr>
          <w:rFonts w:ascii="Arial" w:eastAsia="Arial" w:hAnsi="Arial" w:cs="Arial"/>
          <w:b/>
        </w:rPr>
      </w:pPr>
    </w:p>
    <w:p w14:paraId="62A73FC1" w14:textId="77777777" w:rsidR="00937D7C" w:rsidRPr="00EE6DA7" w:rsidRDefault="00937D7C" w:rsidP="00937D7C">
      <w:pPr>
        <w:autoSpaceDN w:val="0"/>
        <w:spacing w:after="0" w:line="240" w:lineRule="auto"/>
        <w:jc w:val="center"/>
        <w:textAlignment w:val="baseline"/>
        <w:rPr>
          <w:rFonts w:eastAsia="Times New Roman"/>
          <w:sz w:val="20"/>
          <w:szCs w:val="20"/>
        </w:rPr>
      </w:pPr>
    </w:p>
    <w:p w14:paraId="4545C3A0" w14:textId="77777777" w:rsidR="00937D7C" w:rsidRPr="00EE6DA7" w:rsidRDefault="00937D7C" w:rsidP="00937D7C">
      <w:pPr>
        <w:autoSpaceDN w:val="0"/>
        <w:spacing w:after="0" w:line="240" w:lineRule="auto"/>
        <w:jc w:val="center"/>
        <w:textAlignment w:val="baseline"/>
        <w:rPr>
          <w:rFonts w:ascii="Segoe UI" w:eastAsia="Times New Roman" w:hAnsi="Segoe UI" w:cs="Segoe UI"/>
          <w:sz w:val="18"/>
          <w:szCs w:val="18"/>
        </w:rPr>
      </w:pPr>
      <w:r w:rsidRPr="00EE6DA7">
        <w:rPr>
          <w:rFonts w:eastAsia="Times New Roman"/>
          <w:sz w:val="20"/>
          <w:szCs w:val="20"/>
        </w:rPr>
        <w:t> </w:t>
      </w:r>
      <w:r w:rsidRPr="00EE6DA7">
        <w:rPr>
          <w:rFonts w:ascii="Arial" w:eastAsia="Times New Roman" w:hAnsi="Arial" w:cs="Arial"/>
          <w:b/>
          <w:bCs/>
          <w:sz w:val="20"/>
          <w:szCs w:val="20"/>
        </w:rPr>
        <w:t>Para más información contacte con:</w:t>
      </w:r>
      <w:r w:rsidRPr="00EE6DA7">
        <w:rPr>
          <w:rFonts w:ascii="Times New Roman" w:eastAsia="Arial" w:hAnsi="Times New Roman" w:cs="Times New Roman"/>
          <w:sz w:val="20"/>
          <w:szCs w:val="20"/>
        </w:rPr>
        <w:t> </w:t>
      </w:r>
    </w:p>
    <w:p w14:paraId="206EBC46" w14:textId="77777777" w:rsidR="00937D7C" w:rsidRPr="00EE6DA7" w:rsidRDefault="00937D7C" w:rsidP="00937D7C">
      <w:pPr>
        <w:widowControl w:val="0"/>
        <w:autoSpaceDE w:val="0"/>
        <w:autoSpaceDN w:val="0"/>
        <w:spacing w:after="0" w:line="240" w:lineRule="auto"/>
        <w:ind w:left="357"/>
        <w:jc w:val="center"/>
        <w:rPr>
          <w:rFonts w:ascii="Arial" w:eastAsia="Times New Roman" w:hAnsi="Arial" w:cs="Arial"/>
          <w:sz w:val="20"/>
          <w:szCs w:val="20"/>
          <w:lang w:val="pt-PT"/>
        </w:rPr>
      </w:pPr>
      <w:r w:rsidRPr="00EE6DA7">
        <w:rPr>
          <w:rFonts w:ascii="Arial" w:eastAsia="Times New Roman" w:hAnsi="Arial" w:cs="Arial"/>
          <w:sz w:val="20"/>
          <w:szCs w:val="20"/>
          <w:lang w:val="pt-PT"/>
        </w:rPr>
        <w:t xml:space="preserve">Beatriz Dorado: 602 259 092 | </w:t>
      </w:r>
      <w:hyperlink r:id="rId12" w:history="1">
        <w:r w:rsidRPr="00EE6DA7">
          <w:rPr>
            <w:rFonts w:ascii="Arial" w:eastAsia="Times New Roman" w:hAnsi="Arial" w:cs="Arial"/>
            <w:color w:val="0563C1"/>
            <w:sz w:val="20"/>
            <w:szCs w:val="20"/>
            <w:u w:val="single"/>
            <w:lang w:val="pt-PT"/>
          </w:rPr>
          <w:t>b.dorado@romanrm.com</w:t>
        </w:r>
      </w:hyperlink>
    </w:p>
    <w:p w14:paraId="53399987" w14:textId="77777777" w:rsidR="00937D7C" w:rsidRPr="00EE6DA7" w:rsidRDefault="00937D7C" w:rsidP="00937D7C">
      <w:pPr>
        <w:widowControl w:val="0"/>
        <w:autoSpaceDE w:val="0"/>
        <w:autoSpaceDN w:val="0"/>
        <w:spacing w:after="0" w:line="240" w:lineRule="auto"/>
        <w:ind w:left="357"/>
        <w:jc w:val="center"/>
        <w:rPr>
          <w:rFonts w:ascii="Arial" w:eastAsia="Times New Roman" w:hAnsi="Arial" w:cs="Arial"/>
          <w:sz w:val="20"/>
          <w:szCs w:val="20"/>
          <w:lang w:val="pt-PT"/>
        </w:rPr>
      </w:pPr>
      <w:r w:rsidRPr="00EE6DA7">
        <w:rPr>
          <w:rFonts w:ascii="Arial" w:eastAsia="Times New Roman" w:hAnsi="Arial" w:cs="Arial"/>
          <w:sz w:val="20"/>
          <w:szCs w:val="20"/>
        </w:rPr>
        <w:t>Ignacio Marín 696 09 79 41</w:t>
      </w:r>
      <w:r w:rsidRPr="00EE6DA7">
        <w:rPr>
          <w:rFonts w:ascii="Arial" w:eastAsia="Times New Roman" w:hAnsi="Arial" w:cs="Arial"/>
          <w:sz w:val="20"/>
          <w:szCs w:val="20"/>
          <w:lang w:val="pt-PT"/>
        </w:rPr>
        <w:t xml:space="preserve"> | </w:t>
      </w:r>
      <w:hyperlink r:id="rId13" w:history="1">
        <w:r w:rsidRPr="00EE6DA7">
          <w:rPr>
            <w:rFonts w:ascii="Arial" w:eastAsia="Times New Roman" w:hAnsi="Arial" w:cs="Arial"/>
            <w:color w:val="0563C1"/>
            <w:sz w:val="20"/>
            <w:szCs w:val="20"/>
            <w:u w:val="single"/>
            <w:lang w:val="pt-PT"/>
          </w:rPr>
          <w:t>i.marin@romanrm.com</w:t>
        </w:r>
      </w:hyperlink>
    </w:p>
    <w:p w14:paraId="63C3B08C" w14:textId="77777777" w:rsidR="00937D7C" w:rsidRPr="00EE6DA7" w:rsidRDefault="00937D7C" w:rsidP="00937D7C">
      <w:pPr>
        <w:widowControl w:val="0"/>
        <w:autoSpaceDE w:val="0"/>
        <w:autoSpaceDN w:val="0"/>
        <w:spacing w:after="0" w:line="240" w:lineRule="auto"/>
        <w:ind w:left="357"/>
        <w:jc w:val="center"/>
        <w:rPr>
          <w:rFonts w:cs="Arial"/>
          <w:kern w:val="3"/>
          <w:lang w:val="pt-PT"/>
        </w:rPr>
      </w:pPr>
      <w:r w:rsidRPr="00EE6DA7">
        <w:rPr>
          <w:rFonts w:ascii="Arial" w:eastAsia="Times New Roman" w:hAnsi="Arial" w:cs="Arial"/>
          <w:sz w:val="20"/>
          <w:szCs w:val="20"/>
          <w:lang w:val="pt-PT"/>
        </w:rPr>
        <w:t xml:space="preserve">Marta Corrales 692 64 72 15 | </w:t>
      </w:r>
      <w:hyperlink r:id="rId14" w:history="1">
        <w:r w:rsidRPr="00EE6DA7">
          <w:rPr>
            <w:rFonts w:ascii="Arial" w:eastAsia="Times New Roman" w:hAnsi="Arial" w:cs="Arial"/>
            <w:color w:val="0563C1"/>
            <w:sz w:val="20"/>
            <w:szCs w:val="20"/>
            <w:u w:val="single"/>
            <w:lang w:val="pt-PT"/>
          </w:rPr>
          <w:t>m.corrales@romanrm.com</w:t>
        </w:r>
      </w:hyperlink>
    </w:p>
    <w:p w14:paraId="6558E943" w14:textId="77777777" w:rsidR="00937D7C" w:rsidRPr="00EE6DA7" w:rsidRDefault="00937D7C" w:rsidP="00937D7C">
      <w:pPr>
        <w:spacing w:after="0"/>
        <w:jc w:val="both"/>
        <w:rPr>
          <w:rFonts w:ascii="Arial" w:eastAsia="Arial" w:hAnsi="Arial" w:cs="Arial"/>
          <w:sz w:val="20"/>
          <w:szCs w:val="20"/>
          <w:lang w:val="pt-PT"/>
        </w:rPr>
      </w:pPr>
    </w:p>
    <w:p w14:paraId="143C07DF" w14:textId="77777777" w:rsidR="00D7101C" w:rsidRPr="00937D7C" w:rsidRDefault="00D7101C" w:rsidP="00937D7C">
      <w:pPr>
        <w:jc w:val="both"/>
        <w:rPr>
          <w:lang w:val="pt-PT"/>
        </w:rPr>
      </w:pPr>
    </w:p>
    <w:sectPr w:rsidR="00D7101C" w:rsidRPr="00937D7C">
      <w:headerReference w:type="even" r:id="rId15"/>
      <w:headerReference w:type="default" r:id="rId16"/>
      <w:footerReference w:type="even" r:id="rId17"/>
      <w:footerReference w:type="default" r:id="rId18"/>
      <w:headerReference w:type="first" r:id="rId19"/>
      <w:footerReference w:type="first" r:id="rId20"/>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B1E35" w14:textId="77777777" w:rsidR="00326470" w:rsidRDefault="00326470">
      <w:pPr>
        <w:spacing w:after="0" w:line="240" w:lineRule="auto"/>
      </w:pPr>
      <w:r>
        <w:separator/>
      </w:r>
    </w:p>
  </w:endnote>
  <w:endnote w:type="continuationSeparator" w:id="0">
    <w:p w14:paraId="6DC52941" w14:textId="77777777" w:rsidR="00326470" w:rsidRDefault="00326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450E" w14:textId="77777777" w:rsidR="006123EF" w:rsidRDefault="006123E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AD985" w14:textId="77777777" w:rsidR="006123EF" w:rsidRDefault="006123E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0F588" w14:textId="77777777" w:rsidR="006123EF" w:rsidRDefault="006123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F01E7" w14:textId="77777777" w:rsidR="00326470" w:rsidRDefault="00326470">
      <w:pPr>
        <w:spacing w:after="0" w:line="240" w:lineRule="auto"/>
      </w:pPr>
      <w:r>
        <w:separator/>
      </w:r>
    </w:p>
  </w:footnote>
  <w:footnote w:type="continuationSeparator" w:id="0">
    <w:p w14:paraId="16C4EA69" w14:textId="77777777" w:rsidR="00326470" w:rsidRDefault="00326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EA88" w14:textId="77777777" w:rsidR="006123EF" w:rsidRDefault="006123E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89FD" w14:textId="0FD812DD" w:rsidR="00D7101C" w:rsidRDefault="006123EF">
    <w:pPr>
      <w:pBdr>
        <w:top w:val="nil"/>
        <w:left w:val="nil"/>
        <w:bottom w:val="nil"/>
        <w:right w:val="nil"/>
        <w:between w:val="nil"/>
      </w:pBdr>
      <w:tabs>
        <w:tab w:val="center" w:pos="4252"/>
        <w:tab w:val="right" w:pos="8504"/>
      </w:tabs>
      <w:spacing w:after="0" w:line="240" w:lineRule="auto"/>
      <w:rPr>
        <w:color w:val="000000"/>
      </w:rPr>
    </w:pPr>
    <w:r>
      <w:rPr>
        <w:noProof/>
      </w:rPr>
      <w:drawing>
        <wp:anchor distT="114300" distB="114300" distL="114300" distR="114300" simplePos="0" relativeHeight="251656704" behindDoc="1" locked="0" layoutInCell="1" hidden="0" allowOverlap="1" wp14:anchorId="6030EBEA" wp14:editId="4FD765A5">
          <wp:simplePos x="0" y="0"/>
          <wp:positionH relativeFrom="column">
            <wp:posOffset>2181225</wp:posOffset>
          </wp:positionH>
          <wp:positionV relativeFrom="paragraph">
            <wp:posOffset>-266699</wp:posOffset>
          </wp:positionV>
          <wp:extent cx="2562317" cy="881063"/>
          <wp:effectExtent l="0" t="0" r="0" b="0"/>
          <wp:wrapNone/>
          <wp:docPr id="1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562317" cy="881063"/>
                  </a:xfrm>
                  <a:prstGeom prst="rect">
                    <a:avLst/>
                  </a:prstGeom>
                  <a:ln/>
                </pic:spPr>
              </pic:pic>
            </a:graphicData>
          </a:graphic>
        </wp:anchor>
      </w:drawing>
    </w:r>
    <w:r>
      <w:rPr>
        <w:noProof/>
      </w:rPr>
      <w:drawing>
        <wp:anchor distT="0" distB="0" distL="114300" distR="114300" simplePos="0" relativeHeight="251657728" behindDoc="0" locked="0" layoutInCell="1" hidden="0" allowOverlap="1" wp14:anchorId="15634B87" wp14:editId="1D5532B1">
          <wp:simplePos x="0" y="0"/>
          <wp:positionH relativeFrom="column">
            <wp:posOffset>657225</wp:posOffset>
          </wp:positionH>
          <wp:positionV relativeFrom="paragraph">
            <wp:posOffset>-266699</wp:posOffset>
          </wp:positionV>
          <wp:extent cx="992551" cy="885825"/>
          <wp:effectExtent l="0" t="0" r="0" b="0"/>
          <wp:wrapSquare wrapText="bothSides" distT="0" distB="0" distL="114300" distR="114300"/>
          <wp:docPr id="14"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Logotipo&#10;&#10;Descripción generada automáticamente"/>
                  <pic:cNvPicPr preferRelativeResize="0"/>
                </pic:nvPicPr>
                <pic:blipFill>
                  <a:blip r:embed="rId2"/>
                  <a:srcRect/>
                  <a:stretch>
                    <a:fillRect/>
                  </a:stretch>
                </pic:blipFill>
                <pic:spPr>
                  <a:xfrm>
                    <a:off x="0" y="0"/>
                    <a:ext cx="992551" cy="885825"/>
                  </a:xfrm>
                  <a:prstGeom prst="rect">
                    <a:avLst/>
                  </a:prstGeom>
                  <a:ln/>
                </pic:spPr>
              </pic:pic>
            </a:graphicData>
          </a:graphic>
        </wp:anchor>
      </w:drawing>
    </w:r>
  </w:p>
  <w:p w14:paraId="69B67198" w14:textId="77777777" w:rsidR="00D7101C" w:rsidRDefault="00D7101C">
    <w:pPr>
      <w:pBdr>
        <w:top w:val="nil"/>
        <w:left w:val="nil"/>
        <w:bottom w:val="nil"/>
        <w:right w:val="nil"/>
        <w:between w:val="nil"/>
      </w:pBdr>
      <w:tabs>
        <w:tab w:val="center" w:pos="4252"/>
        <w:tab w:val="right" w:pos="8504"/>
      </w:tabs>
      <w:spacing w:after="0" w:line="240" w:lineRule="auto"/>
      <w:rPr>
        <w:color w:val="000000"/>
      </w:rPr>
    </w:pPr>
  </w:p>
  <w:p w14:paraId="1730C763" w14:textId="77777777" w:rsidR="00D7101C" w:rsidRDefault="00D7101C">
    <w:pPr>
      <w:pBdr>
        <w:top w:val="nil"/>
        <w:left w:val="nil"/>
        <w:bottom w:val="nil"/>
        <w:right w:val="nil"/>
        <w:between w:val="nil"/>
      </w:pBdr>
      <w:tabs>
        <w:tab w:val="center" w:pos="4252"/>
        <w:tab w:val="right" w:pos="8504"/>
      </w:tabs>
      <w:spacing w:after="0" w:line="240" w:lineRule="auto"/>
      <w:rPr>
        <w:color w:val="000000"/>
      </w:rPr>
    </w:pPr>
  </w:p>
  <w:p w14:paraId="455DDB69" w14:textId="77777777" w:rsidR="00D7101C" w:rsidRDefault="00D7101C">
    <w:pPr>
      <w:pBdr>
        <w:top w:val="nil"/>
        <w:left w:val="nil"/>
        <w:bottom w:val="nil"/>
        <w:right w:val="nil"/>
        <w:between w:val="nil"/>
      </w:pBdr>
      <w:tabs>
        <w:tab w:val="center" w:pos="4252"/>
        <w:tab w:val="right" w:pos="8504"/>
      </w:tabs>
      <w:spacing w:after="0" w:line="240" w:lineRule="auto"/>
      <w:rPr>
        <w:color w:val="000000"/>
      </w:rPr>
    </w:pPr>
  </w:p>
  <w:p w14:paraId="3CB718B2" w14:textId="77777777" w:rsidR="00D7101C" w:rsidRDefault="00D7101C">
    <w:pPr>
      <w:pBdr>
        <w:top w:val="nil"/>
        <w:left w:val="nil"/>
        <w:bottom w:val="nil"/>
        <w:right w:val="nil"/>
        <w:between w:val="nil"/>
      </w:pBdr>
      <w:tabs>
        <w:tab w:val="center" w:pos="4252"/>
        <w:tab w:val="right" w:pos="8504"/>
      </w:tabs>
      <w:spacing w:after="0" w:line="240" w:lineRule="auto"/>
      <w:rPr>
        <w:color w:val="000000"/>
      </w:rPr>
    </w:pPr>
  </w:p>
  <w:p w14:paraId="573B3E6D" w14:textId="77777777" w:rsidR="00D7101C" w:rsidRDefault="00D7101C">
    <w:pPr>
      <w:pBdr>
        <w:top w:val="nil"/>
        <w:left w:val="nil"/>
        <w:bottom w:val="nil"/>
        <w:right w:val="nil"/>
        <w:between w:val="nil"/>
      </w:pBd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B1113" w14:textId="77777777" w:rsidR="006123EF" w:rsidRDefault="006123E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02F"/>
    <w:multiLevelType w:val="multilevel"/>
    <w:tmpl w:val="520287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92162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01C"/>
    <w:rsid w:val="000B0A6D"/>
    <w:rsid w:val="001361B3"/>
    <w:rsid w:val="00163454"/>
    <w:rsid w:val="0018633B"/>
    <w:rsid w:val="001F7FAB"/>
    <w:rsid w:val="00233CCA"/>
    <w:rsid w:val="00254BB9"/>
    <w:rsid w:val="00254CFB"/>
    <w:rsid w:val="00262504"/>
    <w:rsid w:val="002B4A64"/>
    <w:rsid w:val="002D59E3"/>
    <w:rsid w:val="00302AB9"/>
    <w:rsid w:val="00311B2C"/>
    <w:rsid w:val="00326470"/>
    <w:rsid w:val="003556A1"/>
    <w:rsid w:val="00363FDF"/>
    <w:rsid w:val="00365F92"/>
    <w:rsid w:val="003C195B"/>
    <w:rsid w:val="00492E44"/>
    <w:rsid w:val="004A7BC8"/>
    <w:rsid w:val="004E6349"/>
    <w:rsid w:val="00502C2E"/>
    <w:rsid w:val="00504E88"/>
    <w:rsid w:val="006123EF"/>
    <w:rsid w:val="00651016"/>
    <w:rsid w:val="006A071F"/>
    <w:rsid w:val="007417CA"/>
    <w:rsid w:val="00792D8A"/>
    <w:rsid w:val="007C1F0B"/>
    <w:rsid w:val="007D0391"/>
    <w:rsid w:val="007E14C9"/>
    <w:rsid w:val="007F5D6C"/>
    <w:rsid w:val="00805076"/>
    <w:rsid w:val="00850544"/>
    <w:rsid w:val="00866FDD"/>
    <w:rsid w:val="0089294B"/>
    <w:rsid w:val="00926E4B"/>
    <w:rsid w:val="00937D7C"/>
    <w:rsid w:val="00A01D4B"/>
    <w:rsid w:val="00A30791"/>
    <w:rsid w:val="00A46257"/>
    <w:rsid w:val="00A50C66"/>
    <w:rsid w:val="00AB22E0"/>
    <w:rsid w:val="00AC582E"/>
    <w:rsid w:val="00B123A9"/>
    <w:rsid w:val="00B37304"/>
    <w:rsid w:val="00B72E26"/>
    <w:rsid w:val="00BB6D36"/>
    <w:rsid w:val="00C569A7"/>
    <w:rsid w:val="00C818CB"/>
    <w:rsid w:val="00D33AAC"/>
    <w:rsid w:val="00D6089A"/>
    <w:rsid w:val="00D7101C"/>
    <w:rsid w:val="00DB2701"/>
    <w:rsid w:val="00DC61FE"/>
    <w:rsid w:val="00DF6A00"/>
    <w:rsid w:val="00E20D3D"/>
    <w:rsid w:val="00E36EEC"/>
    <w:rsid w:val="00EF5B13"/>
    <w:rsid w:val="00FF186A"/>
    <w:rsid w:val="09F95D32"/>
    <w:rsid w:val="33230055"/>
    <w:rsid w:val="36C5F537"/>
    <w:rsid w:val="658A75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605C2"/>
  <w15:docId w15:val="{986CEA5E-89FD-4C88-90EE-533B5992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F0B"/>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ipervnculo">
    <w:name w:val="Hyperlink"/>
    <w:basedOn w:val="Fuentedeprrafopredeter"/>
    <w:uiPriority w:val="99"/>
    <w:unhideWhenUsed/>
    <w:rsid w:val="00FB617A"/>
    <w:rPr>
      <w:color w:val="0563C1" w:themeColor="hyperlink"/>
      <w:u w:val="single"/>
    </w:rPr>
  </w:style>
  <w:style w:type="paragraph" w:styleId="Encabezado">
    <w:name w:val="header"/>
    <w:basedOn w:val="Normal"/>
    <w:link w:val="EncabezadoCar"/>
    <w:uiPriority w:val="99"/>
    <w:unhideWhenUsed/>
    <w:rsid w:val="00FB61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B617A"/>
  </w:style>
  <w:style w:type="paragraph" w:styleId="Piedepgina">
    <w:name w:val="footer"/>
    <w:basedOn w:val="Normal"/>
    <w:link w:val="PiedepginaCar"/>
    <w:uiPriority w:val="99"/>
    <w:unhideWhenUsed/>
    <w:rsid w:val="00FB61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B617A"/>
  </w:style>
  <w:style w:type="paragraph" w:styleId="Prrafodelista">
    <w:name w:val="List Paragraph"/>
    <w:basedOn w:val="Normal"/>
    <w:uiPriority w:val="34"/>
    <w:qFormat/>
    <w:rsid w:val="00316203"/>
    <w:pPr>
      <w:spacing w:after="120" w:line="276" w:lineRule="auto"/>
      <w:ind w:left="720"/>
      <w:contextualSpacing/>
      <w:jc w:val="both"/>
    </w:pPr>
    <w:rPr>
      <w:rFonts w:eastAsia="Times New Roman" w:cs="Times New Roman"/>
      <w:szCs w:val="24"/>
    </w:rPr>
  </w:style>
  <w:style w:type="character" w:styleId="Fuerte">
    <w:name w:val="Strong"/>
    <w:basedOn w:val="Fuentedeprrafopredeter"/>
    <w:uiPriority w:val="22"/>
    <w:qFormat/>
    <w:rsid w:val="00706AEC"/>
    <w:rPr>
      <w:b/>
      <w:bCs/>
    </w:rPr>
  </w:style>
  <w:style w:type="character" w:styleId="nfasis">
    <w:name w:val="Emphasis"/>
    <w:basedOn w:val="Fuentedeprrafopredeter"/>
    <w:uiPriority w:val="20"/>
    <w:qFormat/>
    <w:rsid w:val="00706AEC"/>
    <w:rPr>
      <w:i/>
      <w:iCs/>
    </w:rPr>
  </w:style>
  <w:style w:type="paragraph" w:customStyle="1" w:styleId="Default">
    <w:name w:val="Default"/>
    <w:rsid w:val="00571F83"/>
    <w:pPr>
      <w:autoSpaceDE w:val="0"/>
      <w:autoSpaceDN w:val="0"/>
      <w:adjustRightInd w:val="0"/>
      <w:spacing w:after="0" w:line="240" w:lineRule="auto"/>
    </w:pPr>
    <w:rPr>
      <w:rFonts w:ascii="Times New Roman" w:hAnsi="Times New Roman" w:cs="Times New Roman"/>
      <w:color w:val="000000"/>
      <w:sz w:val="24"/>
      <w:szCs w:val="24"/>
    </w:rPr>
  </w:style>
  <w:style w:type="character" w:styleId="Refdecomentario">
    <w:name w:val="annotation reference"/>
    <w:basedOn w:val="Fuentedeprrafopredeter"/>
    <w:uiPriority w:val="99"/>
    <w:semiHidden/>
    <w:unhideWhenUsed/>
    <w:rsid w:val="0003396C"/>
    <w:rPr>
      <w:sz w:val="16"/>
      <w:szCs w:val="16"/>
    </w:rPr>
  </w:style>
  <w:style w:type="paragraph" w:styleId="Textocomentario">
    <w:name w:val="annotation text"/>
    <w:basedOn w:val="Normal"/>
    <w:link w:val="TextocomentarioCar"/>
    <w:uiPriority w:val="99"/>
    <w:unhideWhenUsed/>
    <w:rsid w:val="0003396C"/>
    <w:pPr>
      <w:spacing w:line="240" w:lineRule="auto"/>
    </w:pPr>
    <w:rPr>
      <w:sz w:val="20"/>
      <w:szCs w:val="20"/>
    </w:rPr>
  </w:style>
  <w:style w:type="character" w:customStyle="1" w:styleId="TextocomentarioCar">
    <w:name w:val="Texto comentario Car"/>
    <w:basedOn w:val="Fuentedeprrafopredeter"/>
    <w:link w:val="Textocomentario"/>
    <w:uiPriority w:val="99"/>
    <w:rsid w:val="0003396C"/>
    <w:rPr>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Mencinsinresolver">
    <w:name w:val="Unresolved Mention"/>
    <w:basedOn w:val="Fuentedeprrafopredeter"/>
    <w:uiPriority w:val="99"/>
    <w:semiHidden/>
    <w:unhideWhenUsed/>
    <w:rsid w:val="004E6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marin@romanrm.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b.dorado@romanrm.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eoparquelasloras.es/2026/09/30/galletas-gullon-renueva-su-apoyo-a-la-investigacion-y-la-proteccion-del-geoparque-las-lora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corrales@romanrm.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thy6vi2o6fLhwca/pZHUuRiAhw==">CgMxLjAyCGguZ2pkZ3hzOAByITFhSFZPTWFjV1lvOE5VeWFTd3hhRTV0QWg2cUt3T01zdQ==</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266810-6C5B-47B3-B9D3-50B23F6867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BCF061C-30EC-4AE2-8204-15B70E88118E}">
  <ds:schemaRefs>
    <ds:schemaRef ds:uri="http://schemas.microsoft.com/sharepoint/v3/contenttype/forms"/>
  </ds:schemaRefs>
</ds:datastoreItem>
</file>

<file path=customXml/itemProps4.xml><?xml version="1.0" encoding="utf-8"?>
<ds:datastoreItem xmlns:ds="http://schemas.openxmlformats.org/officeDocument/2006/customXml" ds:itemID="{AA8CFA44-5B0D-4091-957F-01C79FD58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1346</Words>
  <Characters>7409</Characters>
  <Application>Microsoft Office Word</Application>
  <DocSecurity>0</DocSecurity>
  <Lines>61</Lines>
  <Paragraphs>17</Paragraphs>
  <ScaleCrop>false</ScaleCrop>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López</dc:creator>
  <cp:lastModifiedBy>Marta Redondo Moreno</cp:lastModifiedBy>
  <cp:revision>2</cp:revision>
  <cp:lastPrinted>2024-09-12T08:26:00Z</cp:lastPrinted>
  <dcterms:created xsi:type="dcterms:W3CDTF">2026-09-30T09:47:00Z</dcterms:created>
  <dcterms:modified xsi:type="dcterms:W3CDTF">2026-09-30T09:47:00Z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0x010100F4835534E01B6345906D551A899F1903</vt:lpwstr>
  </property>
  <property fmtid="{D5CDD505-2E9C-101B-9397-08002B2CF9AE}" pid="3" name="Order">
    <vt:r8>672400</vt:r8>
  </property>
</Properties>
</file>