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1E588" w14:textId="77777777" w:rsidR="003E1E7E" w:rsidRDefault="00A73A7E">
      <w:pPr>
        <w:pBdr>
          <w:bottom w:val="none" w:sz="0" w:space="8" w:color="000000"/>
        </w:pBdr>
        <w:spacing w:before="240" w:after="240"/>
        <w:jc w:val="center"/>
        <w:rPr>
          <w:rFonts w:ascii="Arial" w:eastAsia="Arial" w:hAnsi="Arial" w:cs="Arial"/>
          <w:b/>
          <w:bCs/>
          <w:sz w:val="36"/>
          <w:szCs w:val="36"/>
        </w:rPr>
      </w:pPr>
      <w:r>
        <w:rPr>
          <w:rFonts w:ascii="Arial" w:eastAsia="Arial" w:hAnsi="Arial" w:cs="Arial"/>
          <w:b/>
          <w:bCs/>
          <w:sz w:val="36"/>
          <w:szCs w:val="36"/>
        </w:rPr>
        <w:t>Alimerka evitó el desperdicio de más de 930 toneladas de alimentos en lo que va de 2026</w:t>
      </w:r>
    </w:p>
    <w:p w14:paraId="4B31E589" w14:textId="77777777" w:rsidR="003E1E7E" w:rsidRDefault="00A73A7E">
      <w:pPr>
        <w:pBdr>
          <w:bottom w:val="none" w:sz="0" w:space="8" w:color="000000"/>
        </w:pBdr>
        <w:spacing w:before="240" w:after="240"/>
        <w:jc w:val="center"/>
        <w:rPr>
          <w:rFonts w:ascii="Arial" w:eastAsia="Arial" w:hAnsi="Arial" w:cs="Arial"/>
          <w:b/>
          <w:bCs/>
        </w:rPr>
      </w:pPr>
      <w:r>
        <w:rPr>
          <w:rFonts w:ascii="Arial" w:eastAsia="Arial" w:hAnsi="Arial" w:cs="Arial"/>
          <w:b/>
          <w:bCs/>
        </w:rPr>
        <w:t>La iniciativa se integra en la estrategia de sostenibilidad de la compañía, que apuesta por un modelo de gestión que busca reducir las pérdidas alimentarias y maximizar el aprovechamiento de los productos</w:t>
      </w:r>
    </w:p>
    <w:p w14:paraId="4B31E58A" w14:textId="161C46D7" w:rsidR="003E1E7E" w:rsidRDefault="00A73A7E">
      <w:pPr>
        <w:pBdr>
          <w:bottom w:val="none" w:sz="0" w:space="8" w:color="000000"/>
        </w:pBdr>
        <w:spacing w:before="240" w:after="240"/>
        <w:jc w:val="both"/>
        <w:rPr>
          <w:rFonts w:ascii="Arial" w:eastAsia="Arial" w:hAnsi="Arial" w:cs="Arial"/>
          <w:sz w:val="22"/>
          <w:szCs w:val="22"/>
        </w:rPr>
      </w:pPr>
      <w:r>
        <w:rPr>
          <w:rFonts w:ascii="Arial" w:eastAsia="Arial" w:hAnsi="Arial" w:cs="Arial"/>
          <w:sz w:val="22"/>
          <w:szCs w:val="22"/>
          <w:highlight w:val="white"/>
        </w:rPr>
        <w:t xml:space="preserve">Asturias, </w:t>
      </w:r>
      <w:r w:rsidR="001E0918">
        <w:rPr>
          <w:rFonts w:ascii="Arial" w:eastAsia="Arial" w:hAnsi="Arial" w:cs="Arial"/>
          <w:sz w:val="22"/>
          <w:szCs w:val="22"/>
          <w:highlight w:val="white"/>
        </w:rPr>
        <w:t>30</w:t>
      </w:r>
      <w:r>
        <w:rPr>
          <w:rFonts w:ascii="Arial" w:eastAsia="Arial" w:hAnsi="Arial" w:cs="Arial"/>
          <w:sz w:val="22"/>
          <w:szCs w:val="22"/>
          <w:highlight w:val="white"/>
        </w:rPr>
        <w:t xml:space="preserve"> de septiembre de 2026. </w:t>
      </w:r>
      <w:r>
        <w:rPr>
          <w:rFonts w:ascii="Arial" w:eastAsia="Arial" w:hAnsi="Arial" w:cs="Arial"/>
          <w:sz w:val="22"/>
          <w:szCs w:val="22"/>
        </w:rPr>
        <w:t>Alimerka continúa avanzando en su estrategia de sostenibilidad y responsabilidad social con un modelo de gestión orientado a aprovechar al máximo los alimentos y minimizar las pérdidas alimentarias.</w:t>
      </w:r>
      <w:r>
        <w:rPr>
          <w:rFonts w:ascii="Arial" w:eastAsia="Arial" w:hAnsi="Arial" w:cs="Arial"/>
          <w:b/>
          <w:bCs/>
          <w:sz w:val="22"/>
          <w:szCs w:val="22"/>
        </w:rPr>
        <w:t xml:space="preserve"> Entre el 1 de enero y el 28 de septiembre de 2026, la cadena asturiana de supermercados ha gestionado la donación de 930.765,44 kilos de excedentes alimentarios</w:t>
      </w:r>
      <w:r>
        <w:rPr>
          <w:rFonts w:ascii="Arial" w:eastAsia="Arial" w:hAnsi="Arial" w:cs="Arial"/>
          <w:sz w:val="22"/>
          <w:szCs w:val="22"/>
        </w:rPr>
        <w:t>, procedentes de sus tiendas y almacén central, con un valor económico estimado de 2.756.208,42 euros.</w:t>
      </w:r>
    </w:p>
    <w:p w14:paraId="4B31E58B" w14:textId="77777777" w:rsidR="003E1E7E" w:rsidRDefault="00A73A7E">
      <w:pPr>
        <w:pBdr>
          <w:bottom w:val="none" w:sz="0" w:space="8" w:color="000000"/>
        </w:pBdr>
        <w:spacing w:before="240" w:after="240"/>
        <w:jc w:val="both"/>
        <w:rPr>
          <w:rFonts w:ascii="Arial" w:eastAsia="Arial" w:hAnsi="Arial" w:cs="Arial"/>
          <w:sz w:val="22"/>
          <w:szCs w:val="22"/>
        </w:rPr>
      </w:pPr>
      <w:r>
        <w:rPr>
          <w:rFonts w:ascii="Arial" w:eastAsia="Arial" w:hAnsi="Arial" w:cs="Arial"/>
          <w:sz w:val="22"/>
          <w:szCs w:val="22"/>
        </w:rPr>
        <w:t xml:space="preserve">Esta cifra se enmarca en una trayectoria iniciada en 2009 cuando Alimerka, a través de su Fundación, puso en marcha </w:t>
      </w:r>
      <w:r>
        <w:rPr>
          <w:rFonts w:ascii="Arial" w:eastAsia="Arial" w:hAnsi="Arial" w:cs="Arial"/>
          <w:b/>
          <w:bCs/>
          <w:sz w:val="22"/>
          <w:szCs w:val="22"/>
        </w:rPr>
        <w:t>«Alimentos sin Desperdicio»,</w:t>
      </w:r>
      <w:r>
        <w:rPr>
          <w:rFonts w:ascii="Arial" w:eastAsia="Arial" w:hAnsi="Arial" w:cs="Arial"/>
          <w:sz w:val="22"/>
          <w:szCs w:val="22"/>
        </w:rPr>
        <w:t xml:space="preserve"> un proyecto avalado por Bureau Veritas y reconocido en los XII Premios Estrategia NAOS de la AECOSAN. </w:t>
      </w:r>
      <w:r>
        <w:rPr>
          <w:rFonts w:ascii="Arial" w:eastAsia="Arial" w:hAnsi="Arial" w:cs="Arial"/>
          <w:b/>
          <w:bCs/>
          <w:sz w:val="22"/>
          <w:szCs w:val="22"/>
        </w:rPr>
        <w:t>Durante 2025, la compañía destinó 1.539 toneladas de alimentos a 73 entidades sociales</w:t>
      </w:r>
      <w:r>
        <w:rPr>
          <w:rFonts w:ascii="Arial" w:eastAsia="Arial" w:hAnsi="Arial" w:cs="Arial"/>
          <w:sz w:val="22"/>
          <w:szCs w:val="22"/>
        </w:rPr>
        <w:t xml:space="preserve">, con un valor económico estimado de 4.443.688,36 euros, </w:t>
      </w:r>
      <w:r>
        <w:rPr>
          <w:rFonts w:ascii="Arial" w:eastAsia="Arial" w:hAnsi="Arial" w:cs="Arial"/>
          <w:b/>
          <w:bCs/>
          <w:sz w:val="22"/>
          <w:szCs w:val="22"/>
        </w:rPr>
        <w:t xml:space="preserve">evitando además la emisión de 830,44 toneladas de CO₂ </w:t>
      </w:r>
      <w:r>
        <w:rPr>
          <w:rFonts w:ascii="Arial" w:eastAsia="Arial" w:hAnsi="Arial" w:cs="Arial"/>
          <w:sz w:val="22"/>
          <w:szCs w:val="22"/>
        </w:rPr>
        <w:t>equivalente. Junto con los alimentos, las entidades reciben información sobre su conservación y utilización para facilitar su incorporación equilibrada a los menús y contribuir a mejorar la calidad de la alimentación de las personas atendidas.</w:t>
      </w:r>
    </w:p>
    <w:p w14:paraId="4B31E58C" w14:textId="77777777" w:rsidR="003E1E7E" w:rsidRDefault="00A73A7E">
      <w:pPr>
        <w:pBdr>
          <w:bottom w:val="none" w:sz="0" w:space="8" w:color="000000"/>
        </w:pBdr>
        <w:spacing w:before="240" w:after="240"/>
        <w:jc w:val="both"/>
        <w:rPr>
          <w:rFonts w:ascii="Arial" w:eastAsia="Arial" w:hAnsi="Arial" w:cs="Arial"/>
          <w:sz w:val="22"/>
          <w:szCs w:val="22"/>
        </w:rPr>
      </w:pPr>
      <w:r>
        <w:rPr>
          <w:rFonts w:ascii="Arial" w:eastAsia="Arial" w:hAnsi="Arial" w:cs="Arial"/>
          <w:sz w:val="22"/>
          <w:szCs w:val="22"/>
        </w:rPr>
        <w:t>El programa establece una jerarquía que prioriza el consumo humano y, cuando no es posible, destina los productos a alimentación animal o a la gestión de subproductos. Así, en 2025 Alimerka distribuyó 12.401 kilos de frutas y verduras a protectoras de animales y zoológicos, además de 6.548 kilos de carne no apta para la venta, recogidos por el Fondo para la Protección de los Animales Salvajes (FAPAS) para el comedero de buitres de Santo Adriano, en Asturias.</w:t>
      </w:r>
    </w:p>
    <w:p w14:paraId="4B31E58D" w14:textId="77777777" w:rsidR="003E1E7E" w:rsidRDefault="00A73A7E">
      <w:pPr>
        <w:pBdr>
          <w:bottom w:val="none" w:sz="0" w:space="8" w:color="000000"/>
        </w:pBdr>
        <w:spacing w:before="240" w:after="240"/>
        <w:jc w:val="both"/>
        <w:rPr>
          <w:rFonts w:ascii="Arial" w:eastAsia="Arial" w:hAnsi="Arial" w:cs="Arial"/>
          <w:sz w:val="22"/>
          <w:szCs w:val="22"/>
        </w:rPr>
      </w:pPr>
      <w:r>
        <w:rPr>
          <w:rFonts w:ascii="Arial" w:eastAsia="Arial" w:hAnsi="Arial" w:cs="Arial"/>
          <w:sz w:val="22"/>
          <w:szCs w:val="22"/>
        </w:rPr>
        <w:t>Los restos de carnicería y pescadería no aptos para el consumo se entregan a gestores autorizados para su transformación en piensos, energía o compost, completando así el aprovechamiento de los productos.</w:t>
      </w:r>
    </w:p>
    <w:p w14:paraId="4B31E58E" w14:textId="77777777" w:rsidR="003E1E7E" w:rsidRDefault="00A73A7E">
      <w:pPr>
        <w:pStyle w:val="Ttulo3"/>
        <w:keepNext w:val="0"/>
        <w:keepLines w:val="0"/>
        <w:pBdr>
          <w:bottom w:val="none" w:sz="0" w:space="8" w:color="000000"/>
        </w:pBdr>
        <w:jc w:val="both"/>
        <w:rPr>
          <w:rFonts w:ascii="Arial" w:eastAsia="Arial" w:hAnsi="Arial" w:cs="Arial"/>
          <w:sz w:val="22"/>
          <w:szCs w:val="22"/>
        </w:rPr>
      </w:pPr>
      <w:bookmarkStart w:id="0" w:name="_heading=h.h4dbjve6gdkc" w:colFirst="0" w:colLast="0"/>
      <w:bookmarkEnd w:id="0"/>
      <w:r>
        <w:rPr>
          <w:rFonts w:ascii="Arial" w:eastAsia="Arial" w:hAnsi="Arial" w:cs="Arial"/>
          <w:sz w:val="22"/>
          <w:szCs w:val="22"/>
        </w:rPr>
        <w:t>Prevenir para reducir los excedentes</w:t>
      </w:r>
    </w:p>
    <w:p w14:paraId="4B31E58F" w14:textId="77777777" w:rsidR="003E1E7E" w:rsidRDefault="00A73A7E">
      <w:pPr>
        <w:pBdr>
          <w:bottom w:val="none" w:sz="0" w:space="8" w:color="000000"/>
        </w:pBdr>
        <w:spacing w:before="240" w:after="240"/>
        <w:jc w:val="both"/>
        <w:rPr>
          <w:rFonts w:ascii="Arial" w:eastAsia="Arial" w:hAnsi="Arial" w:cs="Arial"/>
          <w:sz w:val="22"/>
          <w:szCs w:val="22"/>
        </w:rPr>
      </w:pPr>
      <w:r>
        <w:rPr>
          <w:rFonts w:ascii="Arial" w:eastAsia="Arial" w:hAnsi="Arial" w:cs="Arial"/>
          <w:b/>
          <w:bCs/>
          <w:sz w:val="22"/>
          <w:szCs w:val="22"/>
        </w:rPr>
        <w:t xml:space="preserve">La prevención es uno de los pilares del modelo de Alimerka. </w:t>
      </w:r>
      <w:r>
        <w:rPr>
          <w:rFonts w:ascii="Arial" w:eastAsia="Arial" w:hAnsi="Arial" w:cs="Arial"/>
          <w:sz w:val="22"/>
          <w:szCs w:val="22"/>
        </w:rPr>
        <w:t xml:space="preserve">Desde 2018, la compañía utiliza un </w:t>
      </w:r>
      <w:r>
        <w:rPr>
          <w:rFonts w:ascii="Arial" w:eastAsia="Arial" w:hAnsi="Arial" w:cs="Arial"/>
          <w:b/>
          <w:bCs/>
          <w:sz w:val="22"/>
          <w:szCs w:val="22"/>
        </w:rPr>
        <w:t xml:space="preserve">Sistema Automatizado de Pronóstico y Reaprovisionamiento </w:t>
      </w:r>
      <w:r>
        <w:rPr>
          <w:rFonts w:ascii="Arial" w:eastAsia="Arial" w:hAnsi="Arial" w:cs="Arial"/>
          <w:sz w:val="22"/>
          <w:szCs w:val="22"/>
        </w:rPr>
        <w:t>que permite ajustar los pedidos y niveles de inventario de cada tienda a la demanda real y reducir la generación de excedentes desde el origen.</w:t>
      </w:r>
    </w:p>
    <w:p w14:paraId="4B31E590" w14:textId="77777777" w:rsidR="003E1E7E" w:rsidRDefault="00A73A7E">
      <w:pPr>
        <w:pBdr>
          <w:bottom w:val="none" w:sz="0" w:space="8" w:color="000000"/>
        </w:pBdr>
        <w:spacing w:before="240" w:after="240"/>
        <w:jc w:val="both"/>
        <w:rPr>
          <w:rFonts w:ascii="Arial" w:eastAsia="Arial" w:hAnsi="Arial" w:cs="Arial"/>
          <w:sz w:val="22"/>
          <w:szCs w:val="22"/>
        </w:rPr>
      </w:pPr>
      <w:r>
        <w:rPr>
          <w:rFonts w:ascii="Arial" w:eastAsia="Arial" w:hAnsi="Arial" w:cs="Arial"/>
          <w:sz w:val="22"/>
          <w:szCs w:val="22"/>
        </w:rPr>
        <w:t>Este trabajo, junto con otras medidas implantadas en tiendas y en la cadena de suministro, ha contribuido a que la gestión de excedentes alimentarios de Alimerka evite la emisión de casi 5.000 toneladas de CO₂ equivalente durante los últimos siete años, avanzando hacia un modelo de distribución más sostenible y circular.</w:t>
      </w:r>
    </w:p>
    <w:p w14:paraId="4B31E591" w14:textId="77777777" w:rsidR="003E1E7E" w:rsidRDefault="003E1E7E">
      <w:pPr>
        <w:pBdr>
          <w:bottom w:val="none" w:sz="0" w:space="8" w:color="000000"/>
        </w:pBdr>
        <w:spacing w:before="240" w:after="240"/>
        <w:jc w:val="both"/>
        <w:rPr>
          <w:rFonts w:ascii="Arial" w:eastAsia="Arial" w:hAnsi="Arial" w:cs="Arial"/>
          <w:sz w:val="22"/>
          <w:szCs w:val="22"/>
        </w:rPr>
      </w:pPr>
    </w:p>
    <w:p w14:paraId="4B31E592" w14:textId="77777777" w:rsidR="003E1E7E" w:rsidRDefault="00A73A7E">
      <w:pPr>
        <w:shd w:val="clear" w:color="auto" w:fill="FFFFFF"/>
        <w:spacing w:after="120"/>
        <w:jc w:val="both"/>
        <w:rPr>
          <w:rFonts w:ascii="Arial" w:eastAsia="Arial" w:hAnsi="Arial" w:cs="Arial"/>
          <w:b/>
          <w:bCs/>
          <w:i/>
          <w:iCs/>
          <w:sz w:val="18"/>
          <w:szCs w:val="18"/>
        </w:rPr>
      </w:pPr>
      <w:r>
        <w:rPr>
          <w:rFonts w:ascii="Arial" w:eastAsia="Arial" w:hAnsi="Arial" w:cs="Arial"/>
          <w:b/>
          <w:bCs/>
          <w:i/>
          <w:iCs/>
          <w:sz w:val="18"/>
          <w:szCs w:val="18"/>
        </w:rPr>
        <w:lastRenderedPageBreak/>
        <w:t>Sobre ALIMERKA</w:t>
      </w:r>
    </w:p>
    <w:p w14:paraId="4B31E593" w14:textId="0D8A1435" w:rsidR="003E1E7E" w:rsidRDefault="00A73A7E">
      <w:pPr>
        <w:jc w:val="both"/>
        <w:rPr>
          <w:rFonts w:ascii="Arial" w:eastAsia="Arial" w:hAnsi="Arial" w:cs="Arial"/>
          <w:i/>
          <w:iCs/>
          <w:sz w:val="20"/>
          <w:szCs w:val="20"/>
        </w:rPr>
      </w:pPr>
      <w:r>
        <w:rPr>
          <w:rFonts w:ascii="Arial" w:eastAsia="Arial" w:hAnsi="Arial" w:cs="Arial"/>
          <w:i/>
          <w:iCs/>
          <w:sz w:val="20"/>
          <w:szCs w:val="20"/>
        </w:rPr>
        <w:t>Alimerka es una empresa asturiana distribuidora de productos de gran consumo. En la actualidad cuenta con más de 6.800 empleados y 1</w:t>
      </w:r>
      <w:r w:rsidR="002D679C">
        <w:rPr>
          <w:rFonts w:ascii="Arial" w:eastAsia="Arial" w:hAnsi="Arial" w:cs="Arial"/>
          <w:i/>
          <w:iCs/>
          <w:sz w:val="20"/>
          <w:szCs w:val="20"/>
        </w:rPr>
        <w:t>68</w:t>
      </w:r>
      <w:r>
        <w:rPr>
          <w:rFonts w:ascii="Arial" w:eastAsia="Arial" w:hAnsi="Arial" w:cs="Arial"/>
          <w:i/>
          <w:iCs/>
          <w:sz w:val="20"/>
          <w:szCs w:val="20"/>
        </w:rPr>
        <w:t xml:space="preserve"> supermercados en Asturias, León, Valladolid, Burgos, Zamora y Lugo (A Mariña). Su misión es garantizar a los consumidores una oferta única de productos de máxima calidad y origen controlado, gracias a una producción propia líder, un equipo comprometido y una cadena de suministro justa que protege al sector primario local. </w:t>
      </w:r>
    </w:p>
    <w:p w14:paraId="4B31E594" w14:textId="77777777" w:rsidR="003E1E7E" w:rsidRDefault="003E1E7E">
      <w:pPr>
        <w:spacing w:after="160"/>
        <w:jc w:val="both"/>
        <w:rPr>
          <w:rFonts w:ascii="Arial" w:eastAsia="Arial" w:hAnsi="Arial" w:cs="Arial"/>
          <w:sz w:val="20"/>
          <w:szCs w:val="20"/>
        </w:rPr>
      </w:pPr>
    </w:p>
    <w:sectPr w:rsidR="003E1E7E">
      <w:headerReference w:type="default" r:id="rId7"/>
      <w:footerReference w:type="default" r:id="rId8"/>
      <w:pgSz w:w="11900" w:h="16840"/>
      <w:pgMar w:top="1417" w:right="1701" w:bottom="1417" w:left="1701" w:header="708" w:footer="9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97894" w14:textId="77777777" w:rsidR="00BC5019" w:rsidRDefault="00BC5019">
      <w:r>
        <w:separator/>
      </w:r>
    </w:p>
  </w:endnote>
  <w:endnote w:type="continuationSeparator" w:id="0">
    <w:p w14:paraId="00686B9B" w14:textId="77777777" w:rsidR="00BC5019" w:rsidRDefault="00BC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70CA8CC-84CF-4E5F-A75D-6858F74C41F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7296FD0-F2EE-4830-A5DD-C1E7B326AF56}"/>
  </w:font>
  <w:font w:name="Cambria">
    <w:panose1 w:val="02040503050406030204"/>
    <w:charset w:val="00"/>
    <w:family w:val="roman"/>
    <w:pitch w:val="variable"/>
    <w:sig w:usb0="E00006FF" w:usb1="420024FF" w:usb2="02000000" w:usb3="00000000" w:csb0="0000019F" w:csb1="00000000"/>
    <w:embedRegular r:id="rId3" w:fontKey="{1CB4AAEB-93B8-4711-9D68-A8A1ABCC5A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E597" w14:textId="77777777" w:rsidR="003E1E7E" w:rsidRDefault="003E1E7E">
    <w:pPr>
      <w:pBdr>
        <w:top w:val="nil"/>
        <w:left w:val="nil"/>
        <w:bottom w:val="nil"/>
        <w:right w:val="nil"/>
        <w:between w:val="nil"/>
      </w:pBdr>
      <w:tabs>
        <w:tab w:val="center" w:pos="4252"/>
        <w:tab w:val="right" w:pos="8504"/>
        <w:tab w:val="right" w:pos="8478"/>
      </w:tabs>
      <w:rPr>
        <w:rFonts w:ascii="Calibri" w:eastAsia="Calibri" w:hAnsi="Calibri" w:cs="Calibri"/>
        <w:color w:val="000000"/>
        <w:sz w:val="16"/>
        <w:szCs w:val="16"/>
      </w:rPr>
    </w:pPr>
  </w:p>
  <w:p w14:paraId="4B31E598" w14:textId="77777777" w:rsidR="003E1E7E" w:rsidRDefault="003E1E7E">
    <w:pPr>
      <w:pBdr>
        <w:top w:val="nil"/>
        <w:left w:val="nil"/>
        <w:bottom w:val="nil"/>
        <w:right w:val="nil"/>
        <w:between w:val="nil"/>
      </w:pBdr>
      <w:tabs>
        <w:tab w:val="center" w:pos="4252"/>
        <w:tab w:val="right" w:pos="8504"/>
        <w:tab w:val="right" w:pos="8478"/>
      </w:tabs>
      <w:rPr>
        <w:rFonts w:ascii="Calibri" w:eastAsia="Calibri" w:hAnsi="Calibri" w:cs="Calibri"/>
        <w:color w:val="000000"/>
        <w:sz w:val="16"/>
        <w:szCs w:val="16"/>
      </w:rPr>
    </w:pPr>
  </w:p>
  <w:p w14:paraId="4B31E599" w14:textId="77777777" w:rsidR="003E1E7E" w:rsidRDefault="00A73A7E">
    <w:pPr>
      <w:pBdr>
        <w:top w:val="nil"/>
        <w:left w:val="nil"/>
        <w:bottom w:val="nil"/>
        <w:right w:val="nil"/>
        <w:between w:val="nil"/>
      </w:pBdr>
      <w:tabs>
        <w:tab w:val="center" w:pos="4252"/>
        <w:tab w:val="right" w:pos="8504"/>
        <w:tab w:val="right" w:pos="8478"/>
      </w:tabs>
      <w:rPr>
        <w:rFonts w:ascii="Calibri" w:eastAsia="Calibri" w:hAnsi="Calibri" w:cs="Calibri"/>
        <w:color w:val="000000"/>
        <w:sz w:val="16"/>
        <w:szCs w:val="16"/>
      </w:rPr>
    </w:pPr>
    <w:r>
      <w:rPr>
        <w:rFonts w:ascii="Calibri" w:eastAsia="Calibri" w:hAnsi="Calibri" w:cs="Calibri"/>
        <w:color w:val="000000"/>
        <w:sz w:val="16"/>
        <w:szCs w:val="16"/>
      </w:rPr>
      <w:t>Para más información:</w:t>
    </w:r>
  </w:p>
  <w:p w14:paraId="4B31E59A" w14:textId="77777777" w:rsidR="003E1E7E" w:rsidRDefault="00A73A7E">
    <w:pPr>
      <w:pBdr>
        <w:top w:val="nil"/>
        <w:left w:val="nil"/>
        <w:bottom w:val="nil"/>
        <w:right w:val="nil"/>
        <w:between w:val="nil"/>
      </w:pBdr>
      <w:tabs>
        <w:tab w:val="center" w:pos="4252"/>
        <w:tab w:val="right" w:pos="8504"/>
        <w:tab w:val="right" w:pos="8478"/>
      </w:tabs>
      <w:rPr>
        <w:rFonts w:ascii="Calibri" w:eastAsia="Calibri" w:hAnsi="Calibri" w:cs="Calibri"/>
        <w:color w:val="000000"/>
        <w:sz w:val="18"/>
        <w:szCs w:val="18"/>
      </w:rPr>
    </w:pPr>
    <w:r>
      <w:rPr>
        <w:rFonts w:ascii="Calibri" w:eastAsia="Calibri" w:hAnsi="Calibri" w:cs="Calibri"/>
        <w:color w:val="000000"/>
        <w:sz w:val="18"/>
        <w:szCs w:val="18"/>
      </w:rPr>
      <w:t>Marta López Tejerina. Responsable de Comunicación Corporativa. Tfno: 639039838</w:t>
    </w:r>
  </w:p>
  <w:p w14:paraId="4B31E59B" w14:textId="77777777" w:rsidR="003E1E7E" w:rsidRDefault="00A73A7E">
    <w:pPr>
      <w:pBdr>
        <w:top w:val="nil"/>
        <w:left w:val="nil"/>
        <w:bottom w:val="nil"/>
        <w:right w:val="nil"/>
        <w:between w:val="nil"/>
      </w:pBdr>
      <w:tabs>
        <w:tab w:val="center" w:pos="4252"/>
        <w:tab w:val="right" w:pos="8504"/>
        <w:tab w:val="right" w:pos="8478"/>
      </w:tabs>
      <w:rPr>
        <w:rFonts w:ascii="Calibri" w:eastAsia="Calibri" w:hAnsi="Calibri" w:cs="Calibri"/>
        <w:color w:val="000000"/>
        <w:sz w:val="18"/>
        <w:szCs w:val="18"/>
      </w:rPr>
    </w:pPr>
    <w:r>
      <w:rPr>
        <w:rFonts w:ascii="Calibri" w:eastAsia="Calibri" w:hAnsi="Calibri" w:cs="Calibri"/>
        <w:color w:val="000000"/>
        <w:sz w:val="18"/>
        <w:szCs w:val="18"/>
      </w:rPr>
      <w:t>Marta Margolles Castejón. Comunicación Profesional. Tfno.: 630722410</w:t>
    </w:r>
  </w:p>
  <w:p w14:paraId="4B31E59C" w14:textId="77777777" w:rsidR="003E1E7E" w:rsidRDefault="003E1E7E">
    <w:pPr>
      <w:pBdr>
        <w:top w:val="nil"/>
        <w:left w:val="nil"/>
        <w:bottom w:val="nil"/>
        <w:right w:val="nil"/>
        <w:between w:val="nil"/>
      </w:pBdr>
      <w:tabs>
        <w:tab w:val="center" w:pos="4252"/>
        <w:tab w:val="right" w:pos="8504"/>
        <w:tab w:val="right" w:pos="8478"/>
      </w:tabs>
      <w:rPr>
        <w:rFonts w:ascii="Calibri" w:eastAsia="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7A724" w14:textId="77777777" w:rsidR="00BC5019" w:rsidRDefault="00BC5019">
      <w:r>
        <w:separator/>
      </w:r>
    </w:p>
  </w:footnote>
  <w:footnote w:type="continuationSeparator" w:id="0">
    <w:p w14:paraId="6DECF35C" w14:textId="77777777" w:rsidR="00BC5019" w:rsidRDefault="00BC5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E595" w14:textId="77777777" w:rsidR="003E1E7E" w:rsidRDefault="00A73A7E">
    <w:pPr>
      <w:tabs>
        <w:tab w:val="center" w:pos="4252"/>
        <w:tab w:val="right" w:pos="8504"/>
        <w:tab w:val="right" w:pos="8478"/>
      </w:tabs>
      <w:ind w:right="109"/>
      <w:jc w:val="both"/>
      <w:rPr>
        <w:rFonts w:ascii="Arial" w:eastAsia="Arial" w:hAnsi="Arial" w:cs="Arial"/>
      </w:rPr>
    </w:pPr>
    <w:r>
      <w:rPr>
        <w:noProof/>
      </w:rPr>
      <w:drawing>
        <wp:anchor distT="0" distB="0" distL="0" distR="0" simplePos="0" relativeHeight="251658240" behindDoc="0" locked="0" layoutInCell="1" hidden="0" allowOverlap="1" wp14:anchorId="4B31E59D" wp14:editId="4B31E59E">
          <wp:simplePos x="0" y="0"/>
          <wp:positionH relativeFrom="column">
            <wp:posOffset>2047403</wp:posOffset>
          </wp:positionH>
          <wp:positionV relativeFrom="paragraph">
            <wp:posOffset>-400046</wp:posOffset>
          </wp:positionV>
          <wp:extent cx="1304925" cy="922020"/>
          <wp:effectExtent l="0" t="0" r="0" b="0"/>
          <wp:wrapNone/>
          <wp:docPr id="495766102"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pic:cNvPicPr preferRelativeResize="0"/>
                </pic:nvPicPr>
                <pic:blipFill>
                  <a:blip r:embed="rId1"/>
                  <a:srcRect/>
                  <a:stretch>
                    <a:fillRect/>
                  </a:stretch>
                </pic:blipFill>
                <pic:spPr>
                  <a:xfrm>
                    <a:off x="0" y="0"/>
                    <a:ext cx="1304925" cy="922020"/>
                  </a:xfrm>
                  <a:prstGeom prst="rect">
                    <a:avLst/>
                  </a:prstGeom>
                  <a:ln/>
                </pic:spPr>
              </pic:pic>
            </a:graphicData>
          </a:graphic>
        </wp:anchor>
      </w:drawing>
    </w:r>
  </w:p>
  <w:p w14:paraId="4B31E596" w14:textId="77777777" w:rsidR="003E1E7E" w:rsidRDefault="003E1E7E">
    <w:pPr>
      <w:pBdr>
        <w:top w:val="nil"/>
        <w:left w:val="nil"/>
        <w:bottom w:val="nil"/>
        <w:right w:val="nil"/>
        <w:between w:val="nil"/>
      </w:pBdr>
      <w:tabs>
        <w:tab w:val="center" w:pos="4252"/>
        <w:tab w:val="right" w:pos="8504"/>
        <w:tab w:val="right" w:pos="8478"/>
      </w:tabs>
      <w:jc w:val="right"/>
      <w:rPr>
        <w:rFonts w:ascii="Calibri" w:eastAsia="Calibri" w:hAnsi="Calibri" w:cs="Calibr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7E"/>
    <w:rsid w:val="001E0918"/>
    <w:rsid w:val="002A3BD2"/>
    <w:rsid w:val="002D679C"/>
    <w:rsid w:val="003E1E7E"/>
    <w:rsid w:val="00A73A7E"/>
    <w:rsid w:val="00BC50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1E588"/>
  <w15:docId w15:val="{247A316A-A172-4EA6-AFBD-BD8CB501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847656"/>
    <w:pPr>
      <w:tabs>
        <w:tab w:val="center" w:pos="4252"/>
        <w:tab w:val="right" w:pos="8504"/>
      </w:tabs>
    </w:pPr>
  </w:style>
  <w:style w:type="character" w:customStyle="1" w:styleId="EncabezadoCar">
    <w:name w:val="Encabezado Car"/>
    <w:basedOn w:val="Fuentedeprrafopredeter"/>
    <w:link w:val="Encabezado"/>
    <w:uiPriority w:val="99"/>
    <w:rsid w:val="00847656"/>
  </w:style>
  <w:style w:type="paragraph" w:styleId="Piedepgina">
    <w:name w:val="footer"/>
    <w:basedOn w:val="Normal"/>
    <w:link w:val="PiedepginaCar"/>
    <w:uiPriority w:val="99"/>
    <w:unhideWhenUsed/>
    <w:rsid w:val="00847656"/>
    <w:pPr>
      <w:tabs>
        <w:tab w:val="center" w:pos="4252"/>
        <w:tab w:val="right" w:pos="8504"/>
      </w:tabs>
    </w:pPr>
  </w:style>
  <w:style w:type="character" w:customStyle="1" w:styleId="PiedepginaCar">
    <w:name w:val="Pie de página Car"/>
    <w:basedOn w:val="Fuentedeprrafopredeter"/>
    <w:link w:val="Piedepgina"/>
    <w:uiPriority w:val="99"/>
    <w:rsid w:val="00847656"/>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hsIa6e1HZjsuY1yNRBuHV/ee9A==">CgMxLjAyDmguaDRkYmp2ZTZnZGtjOAByITF4LWl3Nm1qTzZsOU52SHZzLVlLeHJpYnRRczg3SWYxRg==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504</Words>
  <Characters>2776</Characters>
  <Application>Microsoft Office Word</Application>
  <DocSecurity>0</DocSecurity>
  <Lines>23</Lines>
  <Paragraphs>6</Paragraphs>
  <ScaleCrop>false</ScaleCrop>
  <Company>Hewlett-Packard Company</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Marta Margolles Castejón</cp:lastModifiedBy>
  <cp:revision>2</cp:revision>
  <dcterms:created xsi:type="dcterms:W3CDTF">2026-09-30T07:41:00Z</dcterms:created>
  <dcterms:modified xsi:type="dcterms:W3CDTF">2026-09-30T07:41:00Z</dcterms:modified>
</cp:coreProperties>
</file>