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F1AAB" w14:textId="48D9ECAF" w:rsidR="000251AF" w:rsidRPr="00CE3099" w:rsidRDefault="00CE3099" w:rsidP="00146954">
      <w:pPr>
        <w:pStyle w:val="Cuerpo"/>
        <w:tabs>
          <w:tab w:val="left" w:pos="7692"/>
        </w:tabs>
        <w:jc w:val="center"/>
        <w:rPr>
          <w:b/>
          <w:bCs/>
          <w:color w:val="FF0000"/>
          <w:sz w:val="36"/>
          <w:szCs w:val="36"/>
          <w:u w:color="FF0000"/>
        </w:rPr>
      </w:pPr>
      <w:r w:rsidRPr="00CE3099">
        <w:rPr>
          <w:b/>
          <w:bCs/>
          <w:color w:val="FF0000"/>
          <w:sz w:val="36"/>
          <w:szCs w:val="36"/>
          <w:u w:color="FF0000"/>
          <w:lang w:val="en-US"/>
        </w:rPr>
        <w:t xml:space="preserve">Emcesa </w:t>
      </w:r>
      <w:r>
        <w:rPr>
          <w:b/>
          <w:bCs/>
          <w:color w:val="FF0000"/>
          <w:sz w:val="36"/>
          <w:szCs w:val="36"/>
          <w:u w:color="FF0000"/>
          <w:lang w:val="en-US"/>
        </w:rPr>
        <w:t>avanza en la lucha contra</w:t>
      </w:r>
      <w:r w:rsidRPr="00CE3099">
        <w:rPr>
          <w:b/>
          <w:bCs/>
          <w:color w:val="FF0000"/>
          <w:sz w:val="36"/>
          <w:szCs w:val="36"/>
          <w:u w:color="FF0000"/>
          <w:lang w:val="en-US"/>
        </w:rPr>
        <w:t xml:space="preserve"> el desperdicio alimentario </w:t>
      </w:r>
      <w:r>
        <w:rPr>
          <w:b/>
          <w:bCs/>
          <w:color w:val="FF0000"/>
          <w:sz w:val="36"/>
          <w:szCs w:val="36"/>
          <w:u w:color="FF0000"/>
          <w:lang w:val="en-US"/>
        </w:rPr>
        <w:t>tras un año de</w:t>
      </w:r>
      <w:r w:rsidRPr="00CE3099">
        <w:rPr>
          <w:b/>
          <w:bCs/>
          <w:color w:val="FF0000"/>
          <w:sz w:val="36"/>
          <w:szCs w:val="36"/>
          <w:u w:color="FF0000"/>
          <w:lang w:val="en-US"/>
        </w:rPr>
        <w:t xml:space="preserve"> su Plan Integral de Reducción</w:t>
      </w:r>
    </w:p>
    <w:p w14:paraId="2167A756" w14:textId="77777777" w:rsidR="00CE3099" w:rsidRDefault="00CE3099" w:rsidP="00CE3099">
      <w:pPr>
        <w:pStyle w:val="isselectedend"/>
        <w:numPr>
          <w:ilvl w:val="0"/>
          <w:numId w:val="27"/>
        </w:numPr>
        <w:jc w:val="both"/>
        <w:rPr>
          <w:rFonts w:ascii="Calibri" w:hAnsi="Calibri" w:cs="Calibri"/>
          <w:b/>
          <w:bCs/>
          <w:color w:val="000000"/>
          <w:sz w:val="22"/>
          <w:szCs w:val="22"/>
          <w:u w:color="000000"/>
        </w:rPr>
      </w:pPr>
      <w:r w:rsidRPr="00CE3099">
        <w:rPr>
          <w:rFonts w:ascii="Calibri" w:hAnsi="Calibri" w:cs="Calibri"/>
          <w:b/>
          <w:bCs/>
          <w:color w:val="000000"/>
          <w:sz w:val="22"/>
          <w:szCs w:val="22"/>
          <w:u w:color="000000"/>
        </w:rPr>
        <w:t>La compañía ha reforzado el control de mermas en toda su cadena productiva y ha avanzado en la valorización de los alimentos y subproductos que no pueden aprovecharse</w:t>
      </w:r>
    </w:p>
    <w:p w14:paraId="2B376589" w14:textId="77777777" w:rsidR="00CE3099" w:rsidRPr="00CE3099" w:rsidRDefault="00CE3099" w:rsidP="00CE3099">
      <w:pPr>
        <w:pStyle w:val="isselectedend"/>
        <w:ind w:left="720"/>
        <w:jc w:val="both"/>
        <w:rPr>
          <w:rFonts w:ascii="Calibri" w:hAnsi="Calibri" w:cs="Calibri"/>
          <w:b/>
          <w:bCs/>
          <w:color w:val="000000"/>
          <w:sz w:val="6"/>
          <w:szCs w:val="6"/>
          <w:u w:color="000000"/>
        </w:rPr>
      </w:pPr>
    </w:p>
    <w:p w14:paraId="55DDC554" w14:textId="614DC4C9" w:rsidR="00146954" w:rsidRPr="00146954" w:rsidRDefault="00CE3099" w:rsidP="00CE3099">
      <w:pPr>
        <w:pStyle w:val="isselectedend"/>
        <w:numPr>
          <w:ilvl w:val="0"/>
          <w:numId w:val="27"/>
        </w:numPr>
        <w:jc w:val="both"/>
        <w:rPr>
          <w:rFonts w:ascii="Calibri" w:hAnsi="Calibri" w:cs="Calibri"/>
          <w:b/>
          <w:bCs/>
          <w:color w:val="000000"/>
          <w:sz w:val="22"/>
          <w:szCs w:val="22"/>
          <w:u w:color="000000"/>
        </w:rPr>
      </w:pPr>
      <w:r w:rsidRPr="00CE3099">
        <w:rPr>
          <w:rFonts w:ascii="Calibri" w:hAnsi="Calibri" w:cs="Calibri"/>
          <w:b/>
          <w:bCs/>
          <w:color w:val="000000"/>
          <w:sz w:val="22"/>
          <w:szCs w:val="22"/>
          <w:u w:color="000000"/>
        </w:rPr>
        <w:t>El plan, puesto en marcha en noviembre de 2025, actúa sobre todo el proceso, desde la recepción de materias primas hasta la distribución</w:t>
      </w:r>
      <w:r>
        <w:rPr>
          <w:rFonts w:ascii="Calibri" w:hAnsi="Calibri" w:cs="Calibri"/>
          <w:b/>
          <w:bCs/>
          <w:color w:val="000000"/>
          <w:sz w:val="22"/>
          <w:szCs w:val="22"/>
          <w:u w:color="000000"/>
        </w:rPr>
        <w:t xml:space="preserve"> </w:t>
      </w:r>
    </w:p>
    <w:p w14:paraId="2914BEF7" w14:textId="1394ACF0" w:rsidR="00CE3099" w:rsidRPr="00CE3099" w:rsidRDefault="00CE4890" w:rsidP="00CE3099">
      <w:pPr>
        <w:pStyle w:val="isselectedend"/>
        <w:jc w:val="both"/>
        <w:rPr>
          <w:rFonts w:ascii="Calibri" w:hAnsi="Calibri" w:cs="Calibri"/>
          <w:sz w:val="22"/>
          <w:szCs w:val="22"/>
          <w:lang w:val="en-US"/>
        </w:rPr>
      </w:pPr>
      <w:r w:rsidRPr="0099544A">
        <w:rPr>
          <w:rStyle w:val="Ninguno"/>
          <w:rFonts w:ascii="Calibri" w:hAnsi="Calibri" w:cs="Calibri"/>
          <w:b/>
          <w:bCs/>
          <w:sz w:val="22"/>
          <w:szCs w:val="22"/>
          <w:lang w:val="es-ES_tradnl"/>
        </w:rPr>
        <w:t xml:space="preserve">Toledo, a </w:t>
      </w:r>
      <w:r w:rsidR="00363EB5">
        <w:rPr>
          <w:rStyle w:val="Ninguno"/>
          <w:rFonts w:ascii="Calibri" w:hAnsi="Calibri" w:cs="Calibri"/>
          <w:b/>
          <w:bCs/>
          <w:sz w:val="22"/>
          <w:szCs w:val="22"/>
          <w:lang w:val="es-ES_tradnl"/>
        </w:rPr>
        <w:t>28</w:t>
      </w:r>
      <w:r w:rsidR="001F7B0E" w:rsidRPr="0099544A">
        <w:rPr>
          <w:rStyle w:val="Ninguno"/>
          <w:rFonts w:ascii="Calibri" w:hAnsi="Calibri" w:cs="Calibri"/>
          <w:b/>
          <w:bCs/>
          <w:sz w:val="22"/>
          <w:szCs w:val="22"/>
          <w:lang w:val="es-ES_tradnl"/>
        </w:rPr>
        <w:t xml:space="preserve"> </w:t>
      </w:r>
      <w:r w:rsidRPr="0099544A">
        <w:rPr>
          <w:rStyle w:val="Ninguno"/>
          <w:rFonts w:ascii="Calibri" w:hAnsi="Calibri" w:cs="Calibri"/>
          <w:b/>
          <w:bCs/>
          <w:sz w:val="22"/>
          <w:szCs w:val="22"/>
          <w:lang w:val="es-ES_tradnl"/>
        </w:rPr>
        <w:t xml:space="preserve">de </w:t>
      </w:r>
      <w:r w:rsidR="00CC4ADE" w:rsidRPr="0099544A">
        <w:rPr>
          <w:rStyle w:val="Ninguno"/>
          <w:rFonts w:ascii="Calibri" w:hAnsi="Calibri" w:cs="Calibri"/>
          <w:b/>
          <w:bCs/>
          <w:sz w:val="22"/>
          <w:szCs w:val="22"/>
          <w:lang w:val="es-ES_tradnl"/>
        </w:rPr>
        <w:t>septiembre</w:t>
      </w:r>
      <w:r w:rsidRPr="0099544A">
        <w:rPr>
          <w:rStyle w:val="Ninguno"/>
          <w:rFonts w:ascii="Calibri" w:hAnsi="Calibri" w:cs="Calibri"/>
          <w:b/>
          <w:bCs/>
          <w:sz w:val="22"/>
          <w:szCs w:val="22"/>
          <w:lang w:val="es-ES_tradnl"/>
        </w:rPr>
        <w:t xml:space="preserve"> de 202</w:t>
      </w:r>
      <w:r w:rsidR="00244781" w:rsidRPr="0099544A">
        <w:rPr>
          <w:rStyle w:val="Ninguno"/>
          <w:rFonts w:ascii="Calibri" w:hAnsi="Calibri" w:cs="Calibri"/>
          <w:b/>
          <w:bCs/>
          <w:sz w:val="22"/>
          <w:szCs w:val="22"/>
          <w:lang w:val="es-ES_tradnl"/>
        </w:rPr>
        <w:t>6</w:t>
      </w:r>
      <w:r w:rsidRPr="0099544A">
        <w:rPr>
          <w:rStyle w:val="Ninguno"/>
          <w:rFonts w:ascii="Calibri" w:hAnsi="Calibri" w:cs="Calibri"/>
          <w:b/>
          <w:bCs/>
          <w:sz w:val="22"/>
          <w:szCs w:val="22"/>
          <w:lang w:val="es-ES_tradnl"/>
        </w:rPr>
        <w:t xml:space="preserve">.- </w:t>
      </w:r>
      <w:r w:rsidR="00CE3099" w:rsidRPr="00CE3099">
        <w:rPr>
          <w:rFonts w:ascii="Calibri" w:hAnsi="Calibri" w:cs="Calibri"/>
          <w:sz w:val="22"/>
          <w:szCs w:val="22"/>
          <w:lang w:val="en-US"/>
        </w:rPr>
        <w:t xml:space="preserve">A punto de cumplir su primer año de aplicación, Emcesa hace balance de las actuaciones desarrolladas en el marco de su </w:t>
      </w:r>
      <w:r w:rsidR="00CE3099" w:rsidRPr="00CE3099">
        <w:rPr>
          <w:rFonts w:ascii="Calibri" w:hAnsi="Calibri" w:cs="Calibri"/>
          <w:b/>
          <w:bCs/>
          <w:sz w:val="22"/>
          <w:szCs w:val="22"/>
          <w:lang w:val="en-US"/>
        </w:rPr>
        <w:t>Plan Integral de Reducción del Desperdicio Alimentario</w:t>
      </w:r>
      <w:r w:rsidR="00CE3099" w:rsidRPr="00CE3099">
        <w:rPr>
          <w:rFonts w:ascii="Calibri" w:hAnsi="Calibri" w:cs="Calibri"/>
          <w:sz w:val="22"/>
          <w:szCs w:val="22"/>
          <w:lang w:val="en-US"/>
        </w:rPr>
        <w:t xml:space="preserve">, puesto en marcha en noviembre de 2025, coincidiendo con la celebración del </w:t>
      </w:r>
      <w:r w:rsidR="00CE3099" w:rsidRPr="00CE3099">
        <w:rPr>
          <w:rFonts w:ascii="Calibri" w:hAnsi="Calibri" w:cs="Calibri"/>
          <w:b/>
          <w:bCs/>
          <w:sz w:val="22"/>
          <w:szCs w:val="22"/>
          <w:lang w:val="en-US"/>
        </w:rPr>
        <w:t>Día Internacional de Concienciación sobre la Pérdida y el Desperdicio de Alimentos</w:t>
      </w:r>
      <w:r w:rsidR="00CE3099" w:rsidRPr="00CE3099">
        <w:rPr>
          <w:rFonts w:ascii="Calibri" w:hAnsi="Calibri" w:cs="Calibri"/>
          <w:sz w:val="22"/>
          <w:szCs w:val="22"/>
          <w:lang w:val="en-US"/>
        </w:rPr>
        <w:t>.</w:t>
      </w:r>
    </w:p>
    <w:p w14:paraId="1BEECAFF"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t xml:space="preserve">El plan nació con el objetivo de </w:t>
      </w:r>
      <w:r w:rsidRPr="00CE3099">
        <w:rPr>
          <w:rFonts w:ascii="Calibri" w:hAnsi="Calibri" w:cs="Calibri"/>
          <w:b/>
          <w:bCs/>
          <w:sz w:val="22"/>
          <w:szCs w:val="22"/>
        </w:rPr>
        <w:t>prevenir las pérdidas evitables y mejorar el aprovechamiento de aquellas que no pueden evitarse</w:t>
      </w:r>
      <w:r w:rsidRPr="00CE3099">
        <w:rPr>
          <w:rFonts w:ascii="Calibri" w:hAnsi="Calibri" w:cs="Calibri"/>
          <w:sz w:val="22"/>
          <w:szCs w:val="22"/>
        </w:rPr>
        <w:t>, siempre bajo criterios de calidad y seguridad alimentaria. Durante estos primeros meses, la compañía ha reforzado los sistemas de control y seguimiento de mermas y ha implantado distintas medidas para mejorar la eficiencia en las diferentes etapas de su proceso productivo.</w:t>
      </w:r>
    </w:p>
    <w:p w14:paraId="32EE5422"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t xml:space="preserve">“El compromiso con la sostenibilidad no se limita a reducir emisiones, también supone aprovechar cada recurso y minimizar las pérdidas”, señala </w:t>
      </w:r>
      <w:r w:rsidRPr="00CE3099">
        <w:rPr>
          <w:rFonts w:ascii="Calibri" w:hAnsi="Calibri" w:cs="Calibri"/>
          <w:b/>
          <w:bCs/>
          <w:sz w:val="22"/>
          <w:szCs w:val="22"/>
        </w:rPr>
        <w:t>Javier Mancebo, director general de Emcesa</w:t>
      </w:r>
      <w:r w:rsidRPr="00CE3099">
        <w:rPr>
          <w:rFonts w:ascii="Calibri" w:hAnsi="Calibri" w:cs="Calibri"/>
          <w:sz w:val="22"/>
          <w:szCs w:val="22"/>
        </w:rPr>
        <w:t xml:space="preserve">. En este sentido, explica que el plan integra la sostenibilidad en la operativa diaria de la compañía mediante medidas que abarcan </w:t>
      </w:r>
      <w:r w:rsidRPr="00CE3099">
        <w:rPr>
          <w:rFonts w:ascii="Calibri" w:hAnsi="Calibri" w:cs="Calibri"/>
          <w:b/>
          <w:bCs/>
          <w:sz w:val="22"/>
          <w:szCs w:val="22"/>
        </w:rPr>
        <w:t>desde la recepción de las materias primas hasta la distribución del producto final</w:t>
      </w:r>
      <w:r w:rsidRPr="00CE3099">
        <w:rPr>
          <w:rFonts w:ascii="Calibri" w:hAnsi="Calibri" w:cs="Calibri"/>
          <w:sz w:val="22"/>
          <w:szCs w:val="22"/>
        </w:rPr>
        <w:t>, combinando control operativo, formación y seguimiento técnico.</w:t>
      </w:r>
    </w:p>
    <w:p w14:paraId="7C1E585E" w14:textId="77777777" w:rsidR="00CE3099" w:rsidRPr="00CE3099" w:rsidRDefault="00CE3099" w:rsidP="00CE3099">
      <w:pPr>
        <w:pStyle w:val="isselectedend"/>
        <w:jc w:val="both"/>
        <w:rPr>
          <w:rFonts w:ascii="Calibri" w:hAnsi="Calibri" w:cs="Calibri"/>
          <w:b/>
          <w:bCs/>
          <w:sz w:val="22"/>
          <w:szCs w:val="22"/>
        </w:rPr>
      </w:pPr>
      <w:r w:rsidRPr="00CE3099">
        <w:rPr>
          <w:rFonts w:ascii="Calibri" w:hAnsi="Calibri" w:cs="Calibri"/>
          <w:b/>
          <w:bCs/>
          <w:sz w:val="22"/>
          <w:szCs w:val="22"/>
        </w:rPr>
        <w:t>Del control de mermas a la planificación logística</w:t>
      </w:r>
    </w:p>
    <w:p w14:paraId="3330FAF2"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t xml:space="preserve">Como punto de partida, Emcesa realizó un </w:t>
      </w:r>
      <w:r w:rsidRPr="00CE3099">
        <w:rPr>
          <w:rFonts w:ascii="Calibri" w:hAnsi="Calibri" w:cs="Calibri"/>
          <w:b/>
          <w:bCs/>
          <w:sz w:val="22"/>
          <w:szCs w:val="22"/>
        </w:rPr>
        <w:t>análisis detallado de su proceso productivo</w:t>
      </w:r>
      <w:r w:rsidRPr="00CE3099">
        <w:rPr>
          <w:rFonts w:ascii="Calibri" w:hAnsi="Calibri" w:cs="Calibri"/>
          <w:sz w:val="22"/>
          <w:szCs w:val="22"/>
        </w:rPr>
        <w:t xml:space="preserve"> para identificar los principales puntos de generación de pérdidas, incluyendo aspectos relacionados con la caducidad, el almacenamiento, la manipulación y el envasado.</w:t>
      </w:r>
    </w:p>
    <w:p w14:paraId="7917E5DC"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t xml:space="preserve">A partir de este diagnóstico, la compañía ha reforzado las rutinas </w:t>
      </w:r>
      <w:r w:rsidRPr="00CE3099">
        <w:rPr>
          <w:rFonts w:ascii="Calibri" w:hAnsi="Calibri" w:cs="Calibri"/>
          <w:b/>
          <w:bCs/>
          <w:sz w:val="22"/>
          <w:szCs w:val="22"/>
        </w:rPr>
        <w:t>FEFO (First Expired, First Out)</w:t>
      </w:r>
      <w:r w:rsidRPr="00CE3099">
        <w:rPr>
          <w:rFonts w:ascii="Calibri" w:hAnsi="Calibri" w:cs="Calibri"/>
          <w:sz w:val="22"/>
          <w:szCs w:val="22"/>
        </w:rPr>
        <w:t xml:space="preserve">, la trazabilidad de los subproductos sujetos a la normativa </w:t>
      </w:r>
      <w:r w:rsidRPr="00CE3099">
        <w:rPr>
          <w:rFonts w:ascii="Calibri" w:hAnsi="Calibri" w:cs="Calibri"/>
          <w:b/>
          <w:bCs/>
          <w:sz w:val="22"/>
          <w:szCs w:val="22"/>
        </w:rPr>
        <w:t>SANDACH</w:t>
      </w:r>
      <w:r w:rsidRPr="00CE3099">
        <w:rPr>
          <w:rFonts w:ascii="Calibri" w:hAnsi="Calibri" w:cs="Calibri"/>
          <w:sz w:val="22"/>
          <w:szCs w:val="22"/>
        </w:rPr>
        <w:t xml:space="preserve"> y los sistemas de </w:t>
      </w:r>
      <w:r w:rsidRPr="00CE3099">
        <w:rPr>
          <w:rFonts w:ascii="Calibri" w:hAnsi="Calibri" w:cs="Calibri"/>
          <w:b/>
          <w:bCs/>
          <w:sz w:val="22"/>
          <w:szCs w:val="22"/>
        </w:rPr>
        <w:t>control y seguimiento de mermas</w:t>
      </w:r>
      <w:r w:rsidRPr="00CE3099">
        <w:rPr>
          <w:rFonts w:ascii="Calibri" w:hAnsi="Calibri" w:cs="Calibri"/>
          <w:sz w:val="22"/>
          <w:szCs w:val="22"/>
        </w:rPr>
        <w:t>, con el objetivo de mejorar la eficiencia del proceso y optimizar el aprovechamiento de las materias primas.</w:t>
      </w:r>
    </w:p>
    <w:p w14:paraId="24DA21DC"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t xml:space="preserve">La gestión se extiende también a las fases posteriores a la producción. Emcesa trabaja para </w:t>
      </w:r>
      <w:r w:rsidRPr="00CE3099">
        <w:rPr>
          <w:rFonts w:ascii="Calibri" w:hAnsi="Calibri" w:cs="Calibri"/>
          <w:b/>
          <w:bCs/>
          <w:sz w:val="22"/>
          <w:szCs w:val="22"/>
        </w:rPr>
        <w:t>minimizar las devoluciones mediante una planificación más ajustada de las entregas y las fechas de caducidad</w:t>
      </w:r>
      <w:r w:rsidRPr="00CE3099">
        <w:rPr>
          <w:rFonts w:ascii="Calibri" w:hAnsi="Calibri" w:cs="Calibri"/>
          <w:sz w:val="22"/>
          <w:szCs w:val="22"/>
        </w:rPr>
        <w:t>, al tiempo que ha introducido mejoras en sus envases para reducir posibles daños durante el transporte.</w:t>
      </w:r>
    </w:p>
    <w:p w14:paraId="5F51AEFD"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lastRenderedPageBreak/>
        <w:t xml:space="preserve">En paralelo, la compañía ha reforzado las vías de </w:t>
      </w:r>
      <w:r w:rsidRPr="00CE3099">
        <w:rPr>
          <w:rFonts w:ascii="Calibri" w:hAnsi="Calibri" w:cs="Calibri"/>
          <w:b/>
          <w:bCs/>
          <w:sz w:val="22"/>
          <w:szCs w:val="22"/>
        </w:rPr>
        <w:t>valorización y aprovechamiento de subproductos</w:t>
      </w:r>
      <w:r w:rsidRPr="00CE3099">
        <w:rPr>
          <w:rFonts w:ascii="Calibri" w:hAnsi="Calibri" w:cs="Calibri"/>
          <w:sz w:val="22"/>
          <w:szCs w:val="22"/>
        </w:rPr>
        <w:t xml:space="preserve">, mediante gestores autorizados conforme al </w:t>
      </w:r>
      <w:r w:rsidRPr="00CE3099">
        <w:rPr>
          <w:rFonts w:ascii="Calibri" w:hAnsi="Calibri" w:cs="Calibri"/>
          <w:b/>
          <w:bCs/>
          <w:sz w:val="22"/>
          <w:szCs w:val="22"/>
        </w:rPr>
        <w:t>Reglamento (CE) 1069/2009</w:t>
      </w:r>
      <w:r w:rsidRPr="00CE3099">
        <w:rPr>
          <w:rFonts w:ascii="Calibri" w:hAnsi="Calibri" w:cs="Calibri"/>
          <w:sz w:val="22"/>
          <w:szCs w:val="22"/>
        </w:rPr>
        <w:t>, integrando estas operaciones dentro de su estrategia de economía circular.</w:t>
      </w:r>
    </w:p>
    <w:p w14:paraId="5BB31758"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t xml:space="preserve">Todo este proceso se apoya en </w:t>
      </w:r>
      <w:r w:rsidRPr="00CE3099">
        <w:rPr>
          <w:rFonts w:ascii="Calibri" w:hAnsi="Calibri" w:cs="Calibri"/>
          <w:b/>
          <w:bCs/>
          <w:sz w:val="22"/>
          <w:szCs w:val="22"/>
        </w:rPr>
        <w:t>auditorías internas y cuadros de mando</w:t>
      </w:r>
      <w:r w:rsidRPr="00CE3099">
        <w:rPr>
          <w:rFonts w:ascii="Calibri" w:hAnsi="Calibri" w:cs="Calibri"/>
          <w:sz w:val="22"/>
          <w:szCs w:val="22"/>
        </w:rPr>
        <w:t xml:space="preserve"> que permiten realizar un seguimiento de indicadores como las mermas generadas en cada fase, el rendimiento de las materias primas y el destino de los residuos, incluyendo su reutilización, valorización o donación.</w:t>
      </w:r>
    </w:p>
    <w:p w14:paraId="00937958"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t xml:space="preserve">El plan incorpora además a la plantilla como parte fundamental de esta estrategia. Los trabajadores reciben </w:t>
      </w:r>
      <w:r w:rsidRPr="00CE3099">
        <w:rPr>
          <w:rFonts w:ascii="Calibri" w:hAnsi="Calibri" w:cs="Calibri"/>
          <w:b/>
          <w:bCs/>
          <w:sz w:val="22"/>
          <w:szCs w:val="22"/>
        </w:rPr>
        <w:t>formación continua en manipulación, sostenibilidad y gestión eficiente de los recursos</w:t>
      </w:r>
      <w:r w:rsidRPr="00CE3099">
        <w:rPr>
          <w:rFonts w:ascii="Calibri" w:hAnsi="Calibri" w:cs="Calibri"/>
          <w:sz w:val="22"/>
          <w:szCs w:val="22"/>
        </w:rPr>
        <w:t>, con el objetivo de trasladar la prevención de pérdidas a las operaciones cotidianas.</w:t>
      </w:r>
    </w:p>
    <w:p w14:paraId="34A2C770" w14:textId="77777777" w:rsidR="00CE3099" w:rsidRPr="00CE3099" w:rsidRDefault="00CE3099" w:rsidP="00CE3099">
      <w:pPr>
        <w:pStyle w:val="isselectedend"/>
        <w:jc w:val="both"/>
        <w:rPr>
          <w:rFonts w:ascii="Calibri" w:hAnsi="Calibri" w:cs="Calibri"/>
          <w:b/>
          <w:bCs/>
          <w:sz w:val="22"/>
          <w:szCs w:val="22"/>
        </w:rPr>
      </w:pPr>
      <w:r w:rsidRPr="00CE3099">
        <w:rPr>
          <w:rFonts w:ascii="Calibri" w:hAnsi="Calibri" w:cs="Calibri"/>
          <w:b/>
          <w:bCs/>
          <w:sz w:val="22"/>
          <w:szCs w:val="22"/>
        </w:rPr>
        <w:t>Aprovechamiento de recursos también fuera de la fábrica</w:t>
      </w:r>
    </w:p>
    <w:p w14:paraId="63C9DC71"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t xml:space="preserve">La estrategia de Emcesa incorpora asimismo una </w:t>
      </w:r>
      <w:r w:rsidRPr="00CE3099">
        <w:rPr>
          <w:rFonts w:ascii="Calibri" w:hAnsi="Calibri" w:cs="Calibri"/>
          <w:b/>
          <w:bCs/>
          <w:sz w:val="22"/>
          <w:szCs w:val="22"/>
        </w:rPr>
        <w:t>dimensión social</w:t>
      </w:r>
      <w:r w:rsidRPr="00CE3099">
        <w:rPr>
          <w:rFonts w:ascii="Calibri" w:hAnsi="Calibri" w:cs="Calibri"/>
          <w:sz w:val="22"/>
          <w:szCs w:val="22"/>
        </w:rPr>
        <w:t xml:space="preserve">, a través de su colaboración con el </w:t>
      </w:r>
      <w:r w:rsidRPr="00CE3099">
        <w:rPr>
          <w:rFonts w:ascii="Calibri" w:hAnsi="Calibri" w:cs="Calibri"/>
          <w:b/>
          <w:bCs/>
          <w:sz w:val="22"/>
          <w:szCs w:val="22"/>
        </w:rPr>
        <w:t>Banco de Alimentos de Toledo</w:t>
      </w:r>
      <w:r w:rsidRPr="00CE3099">
        <w:rPr>
          <w:rFonts w:ascii="Calibri" w:hAnsi="Calibri" w:cs="Calibri"/>
          <w:sz w:val="22"/>
          <w:szCs w:val="22"/>
        </w:rPr>
        <w:t xml:space="preserve"> mediante donaciones periódicas de productos.</w:t>
      </w:r>
    </w:p>
    <w:p w14:paraId="521ACEB4"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t xml:space="preserve">En lo que va de año, </w:t>
      </w:r>
      <w:r w:rsidRPr="00CE3099">
        <w:rPr>
          <w:rFonts w:ascii="Calibri" w:hAnsi="Calibri" w:cs="Calibri"/>
          <w:b/>
          <w:bCs/>
          <w:sz w:val="22"/>
          <w:szCs w:val="22"/>
        </w:rPr>
        <w:t>Emcesa ha realizado ocho donaciones al Banco de Alimentos de Toledo, con un volumen total de 1.009 kilos de producto</w:t>
      </w:r>
      <w:r w:rsidRPr="00CE3099">
        <w:rPr>
          <w:rFonts w:ascii="Calibri" w:hAnsi="Calibri" w:cs="Calibri"/>
          <w:sz w:val="22"/>
          <w:szCs w:val="22"/>
        </w:rPr>
        <w:t>, contribuyendo a dar salida a alimentos aptos para el consumo y a apoyar a colectivos vulnerables.</w:t>
      </w:r>
    </w:p>
    <w:p w14:paraId="6978A3E8" w14:textId="77777777" w:rsidR="00CE3099" w:rsidRPr="00CE3099" w:rsidRDefault="00CE3099" w:rsidP="00CE3099">
      <w:pPr>
        <w:pStyle w:val="isselectedend"/>
        <w:jc w:val="both"/>
        <w:rPr>
          <w:rFonts w:ascii="Calibri" w:hAnsi="Calibri" w:cs="Calibri"/>
          <w:b/>
          <w:bCs/>
          <w:sz w:val="22"/>
          <w:szCs w:val="22"/>
        </w:rPr>
      </w:pPr>
      <w:r w:rsidRPr="00CE3099">
        <w:rPr>
          <w:rFonts w:ascii="Calibri" w:hAnsi="Calibri" w:cs="Calibri"/>
          <w:b/>
          <w:bCs/>
          <w:sz w:val="22"/>
          <w:szCs w:val="22"/>
        </w:rPr>
        <w:t>Un reto para toda la cadena alimentaria</w:t>
      </w:r>
    </w:p>
    <w:p w14:paraId="5434F749"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t xml:space="preserve">El esfuerzo de las empresas se enmarca en un contexto nacional de reducción del desperdicio alimentario. España redujo en 2025 un </w:t>
      </w:r>
      <w:r w:rsidRPr="00CE3099">
        <w:rPr>
          <w:rFonts w:ascii="Calibri" w:hAnsi="Calibri" w:cs="Calibri"/>
          <w:b/>
          <w:bCs/>
          <w:sz w:val="22"/>
          <w:szCs w:val="22"/>
        </w:rPr>
        <w:t>19,2 % el desperdicio alimentario respecto a 2020</w:t>
      </w:r>
      <w:r w:rsidRPr="00CE3099">
        <w:rPr>
          <w:rFonts w:ascii="Calibri" w:hAnsi="Calibri" w:cs="Calibri"/>
          <w:sz w:val="22"/>
          <w:szCs w:val="22"/>
        </w:rPr>
        <w:t xml:space="preserve">, hasta situarlo en </w:t>
      </w:r>
      <w:r w:rsidRPr="00CE3099">
        <w:rPr>
          <w:rFonts w:ascii="Calibri" w:hAnsi="Calibri" w:cs="Calibri"/>
          <w:b/>
          <w:bCs/>
          <w:sz w:val="22"/>
          <w:szCs w:val="22"/>
        </w:rPr>
        <w:t>1.129,91 millones de kilos o litros</w:t>
      </w:r>
      <w:r w:rsidRPr="00CE3099">
        <w:rPr>
          <w:rFonts w:ascii="Calibri" w:hAnsi="Calibri" w:cs="Calibri"/>
          <w:sz w:val="22"/>
          <w:szCs w:val="22"/>
        </w:rPr>
        <w:t>, según el Informe Anual del Ministerio de Agricultura, Pesca y Alimentación presentado el pasado 10 de septiembre.</w:t>
      </w:r>
    </w:p>
    <w:p w14:paraId="0EFF9CF7"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t xml:space="preserve">El dato corresponde, además, al primer ejercicio de plena entrada en vigor de la </w:t>
      </w:r>
      <w:r w:rsidRPr="00CE3099">
        <w:rPr>
          <w:rFonts w:ascii="Calibri" w:hAnsi="Calibri" w:cs="Calibri"/>
          <w:b/>
          <w:bCs/>
          <w:sz w:val="22"/>
          <w:szCs w:val="22"/>
        </w:rPr>
        <w:t>Ley 1/2025, de 1 de abril, de prevención de las pérdidas y el desperdicio alimentario</w:t>
      </w:r>
      <w:r w:rsidRPr="00CE3099">
        <w:rPr>
          <w:rFonts w:ascii="Calibri" w:hAnsi="Calibri" w:cs="Calibri"/>
          <w:sz w:val="22"/>
          <w:szCs w:val="22"/>
        </w:rPr>
        <w:t>, que establece nuevas obligaciones para los distintos agentes de la cadena alimentaria.</w:t>
      </w:r>
    </w:p>
    <w:p w14:paraId="7F35635A" w14:textId="77777777" w:rsidR="00CE3099" w:rsidRPr="00CE3099" w:rsidRDefault="00CE3099" w:rsidP="00CE3099">
      <w:pPr>
        <w:pStyle w:val="isselectedend"/>
        <w:jc w:val="both"/>
        <w:rPr>
          <w:rFonts w:ascii="Calibri" w:hAnsi="Calibri" w:cs="Calibri"/>
          <w:sz w:val="22"/>
          <w:szCs w:val="22"/>
        </w:rPr>
      </w:pPr>
      <w:r w:rsidRPr="00CE3099">
        <w:rPr>
          <w:rFonts w:ascii="Calibri" w:hAnsi="Calibri" w:cs="Calibri"/>
          <w:sz w:val="22"/>
          <w:szCs w:val="22"/>
        </w:rPr>
        <w:t xml:space="preserve">En este contexto, Emcesa afronta el último tramo de su primer año de aplicación </w:t>
      </w:r>
      <w:r w:rsidRPr="00CE3099">
        <w:rPr>
          <w:rFonts w:ascii="Calibri" w:hAnsi="Calibri" w:cs="Calibri"/>
          <w:b/>
          <w:bCs/>
          <w:sz w:val="22"/>
          <w:szCs w:val="22"/>
        </w:rPr>
        <w:t>consolidando un modelo basado en la medición, la prevención y la mejora continua</w:t>
      </w:r>
      <w:r w:rsidRPr="00CE3099">
        <w:rPr>
          <w:rFonts w:ascii="Calibri" w:hAnsi="Calibri" w:cs="Calibri"/>
          <w:sz w:val="22"/>
          <w:szCs w:val="22"/>
        </w:rPr>
        <w:t>, en el que el aprovechamiento de las materias primas y la gestión eficiente de los recursos forman parte de la actividad diaria de la compañía.</w:t>
      </w:r>
    </w:p>
    <w:p w14:paraId="7AC4C464" w14:textId="3E3179AB" w:rsidR="000251AF" w:rsidRPr="00B361D7" w:rsidRDefault="00CE4890" w:rsidP="00CE3099">
      <w:pPr>
        <w:pStyle w:val="isselectedend"/>
        <w:jc w:val="both"/>
      </w:pPr>
      <w:r w:rsidRPr="00B361D7">
        <w:rPr>
          <w:rStyle w:val="Ninguno"/>
          <w:rFonts w:ascii="Calibri" w:hAnsi="Calibri"/>
          <w:b/>
          <w:bCs/>
          <w:sz w:val="22"/>
          <w:szCs w:val="22"/>
        </w:rPr>
        <w:t>Más información: Mari Carmen Martínez</w:t>
      </w:r>
      <w:r w:rsidRPr="00B361D7">
        <w:rPr>
          <w:rStyle w:val="Ninguno"/>
          <w:rFonts w:ascii="Calibri" w:hAnsi="Calibri"/>
          <w:sz w:val="22"/>
          <w:szCs w:val="22"/>
        </w:rPr>
        <w:t xml:space="preserve">– </w:t>
      </w:r>
      <w:hyperlink r:id="rId7" w:history="1">
        <w:r w:rsidRPr="00B361D7">
          <w:rPr>
            <w:rStyle w:val="Hyperlink0"/>
            <w:sz w:val="22"/>
            <w:szCs w:val="22"/>
          </w:rPr>
          <w:t>emcesa@agrifood.es</w:t>
        </w:r>
      </w:hyperlink>
    </w:p>
    <w:p w14:paraId="50E72985" w14:textId="77777777" w:rsidR="000251AF" w:rsidRPr="00B361D7" w:rsidRDefault="00CE4890" w:rsidP="000251AF">
      <w:pPr>
        <w:pBdr>
          <w:bottom w:val="single" w:sz="6" w:space="6" w:color="8B1A1A"/>
        </w:pBdr>
        <w:spacing w:before="100" w:after="200"/>
        <w:rPr>
          <w:rStyle w:val="Ninguno"/>
          <w:rFonts w:ascii="Calibri" w:hAnsi="Calibri"/>
          <w:color w:val="FF0000"/>
          <w:sz w:val="20"/>
          <w:szCs w:val="20"/>
          <w:u w:color="FF0000"/>
          <w:lang w:val="es-ES"/>
        </w:rPr>
      </w:pPr>
      <w:r w:rsidRPr="00B361D7">
        <w:rPr>
          <w:rStyle w:val="Ninguno"/>
          <w:rFonts w:ascii="Calibri" w:hAnsi="Calibri"/>
          <w:color w:val="FF0000"/>
          <w:sz w:val="20"/>
          <w:szCs w:val="20"/>
          <w:u w:color="FF0000"/>
          <w:lang w:val="es-ES"/>
        </w:rPr>
        <w:t>Sobre Emcesa (Embutidos del Centro S.A.).</w:t>
      </w:r>
    </w:p>
    <w:p w14:paraId="143EE468" w14:textId="003E5C87" w:rsidR="005802A9" w:rsidRPr="00B361D7" w:rsidRDefault="00CE4890" w:rsidP="000251AF">
      <w:pPr>
        <w:pBdr>
          <w:bottom w:val="single" w:sz="6" w:space="6" w:color="8B1A1A"/>
        </w:pBdr>
        <w:spacing w:before="100" w:after="200"/>
        <w:jc w:val="both"/>
        <w:rPr>
          <w:lang w:val="es-ES"/>
        </w:rPr>
      </w:pPr>
      <w:r w:rsidRPr="00B361D7">
        <w:rPr>
          <w:rStyle w:val="Ninguno"/>
          <w:rFonts w:ascii="Calibri" w:hAnsi="Calibri" w:cs="Calibri"/>
          <w:sz w:val="20"/>
          <w:szCs w:val="20"/>
          <w:lang w:val="es-ES"/>
        </w:rPr>
        <w:t>Emcesa (</w:t>
      </w:r>
      <w:hyperlink r:id="rId8" w:history="1">
        <w:r w:rsidRPr="000251AF">
          <w:rPr>
            <w:rStyle w:val="Hyperlink1"/>
            <w:rFonts w:ascii="Calibri" w:hAnsi="Calibri" w:cs="Calibri"/>
            <w:sz w:val="20"/>
            <w:szCs w:val="20"/>
          </w:rPr>
          <w:t>www.emcesa.com</w:t>
        </w:r>
      </w:hyperlink>
      <w:r w:rsidRPr="00B361D7">
        <w:rPr>
          <w:rStyle w:val="Ninguno"/>
          <w:rFonts w:ascii="Calibri" w:hAnsi="Calibri" w:cs="Calibri"/>
          <w:sz w:val="20"/>
          <w:szCs w:val="20"/>
          <w:lang w:val="es-ES"/>
        </w:rPr>
        <w:t>) es una empresa toledana de productos cárnicos, creada en 1986 y dedicada a la elaboración de alimentos de primera calidad utilizando procesos tradicionales al mismo tiempo que innovadores.   Emcesa llega a muchos puntos de venta y hogares con un amplio portafolio de productos, cubriendo sus necesidades de variedad, alimentación</w:t>
      </w:r>
      <w:r w:rsidRPr="000251AF">
        <w:rPr>
          <w:rStyle w:val="Ninguno"/>
          <w:rFonts w:ascii="Calibri" w:hAnsi="Calibri" w:cs="Calibri"/>
          <w:sz w:val="20"/>
          <w:szCs w:val="20"/>
          <w:lang w:val="pt-PT"/>
        </w:rPr>
        <w:t>, nutrici</w:t>
      </w:r>
      <w:r w:rsidRPr="00B361D7">
        <w:rPr>
          <w:rStyle w:val="Ninguno"/>
          <w:rFonts w:ascii="Calibri" w:hAnsi="Calibri" w:cs="Calibri"/>
          <w:sz w:val="20"/>
          <w:szCs w:val="20"/>
          <w:lang w:val="es-ES"/>
        </w:rPr>
        <w:t>ón y bienestar; con un alto compromiso con el medioambiente e incorporando a la empresa alternativas tecnológicas que minimicen el impacto en el entorno y midiendo al mismo tiempo los estándares de calidad sanitaria. Así mismo, se compromete con colectivos con situaciones especiales, destaca la colaboración de forma intensa con la Federación de Asociaciones de Celí</w:t>
      </w:r>
      <w:r w:rsidRPr="000251AF">
        <w:rPr>
          <w:rStyle w:val="Ninguno"/>
          <w:rFonts w:ascii="Calibri" w:hAnsi="Calibri" w:cs="Calibri"/>
          <w:sz w:val="20"/>
          <w:szCs w:val="20"/>
          <w:lang w:val="pt-PT"/>
        </w:rPr>
        <w:t xml:space="preserve">acos </w:t>
      </w:r>
      <w:r w:rsidRPr="00B361D7">
        <w:rPr>
          <w:rStyle w:val="Ninguno"/>
          <w:rFonts w:ascii="Calibri" w:hAnsi="Calibri" w:cs="Calibri"/>
          <w:sz w:val="20"/>
          <w:szCs w:val="20"/>
          <w:lang w:val="es-ES"/>
        </w:rPr>
        <w:t>de España (</w:t>
      </w:r>
      <w:hyperlink r:id="rId9" w:history="1">
        <w:r w:rsidRPr="000251AF">
          <w:rPr>
            <w:rStyle w:val="Hyperlink2"/>
          </w:rPr>
          <w:t>www.celiacos.org</w:t>
        </w:r>
      </w:hyperlink>
      <w:r w:rsidRPr="00B361D7">
        <w:rPr>
          <w:rStyle w:val="Ninguno"/>
          <w:rFonts w:ascii="Calibri" w:hAnsi="Calibri" w:cs="Calibri"/>
          <w:sz w:val="20"/>
          <w:szCs w:val="20"/>
          <w:lang w:val="es-ES"/>
        </w:rPr>
        <w:t>).</w:t>
      </w:r>
    </w:p>
    <w:sectPr w:rsidR="005802A9" w:rsidRPr="00B361D7" w:rsidSect="007648C7">
      <w:headerReference w:type="default" r:id="rId10"/>
      <w:pgSz w:w="11900" w:h="16840"/>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2E299" w14:textId="77777777" w:rsidR="00D07825" w:rsidRDefault="00D07825" w:rsidP="005802A9">
      <w:r>
        <w:separator/>
      </w:r>
    </w:p>
  </w:endnote>
  <w:endnote w:type="continuationSeparator" w:id="0">
    <w:p w14:paraId="1E9BB161" w14:textId="77777777" w:rsidR="00D07825" w:rsidRDefault="00D07825" w:rsidP="00580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C33C0" w14:textId="77777777" w:rsidR="00D07825" w:rsidRDefault="00D07825" w:rsidP="005802A9">
      <w:r>
        <w:separator/>
      </w:r>
    </w:p>
  </w:footnote>
  <w:footnote w:type="continuationSeparator" w:id="0">
    <w:p w14:paraId="0E87C936" w14:textId="77777777" w:rsidR="00D07825" w:rsidRDefault="00D07825" w:rsidP="00580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CF9D9" w14:textId="5502B913" w:rsidR="00913301" w:rsidRDefault="00F34B5D" w:rsidP="00F34B5D">
    <w:pPr>
      <w:pStyle w:val="Encabezado"/>
      <w:jc w:val="right"/>
    </w:pPr>
    <w:r>
      <w:rPr>
        <w:noProof/>
      </w:rPr>
      <w:drawing>
        <wp:inline distT="0" distB="0" distL="0" distR="0" wp14:anchorId="23F82146" wp14:editId="1E47B52A">
          <wp:extent cx="1418754" cy="617220"/>
          <wp:effectExtent l="0" t="0" r="0" b="0"/>
          <wp:docPr id="117240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9809" cy="635081"/>
                  </a:xfrm>
                  <a:prstGeom prst="rect">
                    <a:avLst/>
                  </a:prstGeom>
                  <a:noFill/>
                  <a:ln>
                    <a:noFill/>
                  </a:ln>
                </pic:spPr>
              </pic:pic>
            </a:graphicData>
          </a:graphic>
        </wp:inline>
      </w:drawing>
    </w:r>
  </w:p>
  <w:p w14:paraId="0D13685D" w14:textId="344884D7" w:rsidR="005802A9" w:rsidRDefault="00913301" w:rsidP="00913301">
    <w:pPr>
      <w:pStyle w:val="Cabeceraypie"/>
      <w:tabs>
        <w:tab w:val="clear" w:pos="9020"/>
        <w:tab w:val="left" w:pos="122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53D"/>
    <w:multiLevelType w:val="hybridMultilevel"/>
    <w:tmpl w:val="8870C27C"/>
    <w:styleLink w:val="Estiloimportado1"/>
    <w:lvl w:ilvl="0" w:tplc="B7D61B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D2A61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784BB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1EB8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DCC18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8E2E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22B9D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D671B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88AD5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59329D"/>
    <w:multiLevelType w:val="hybridMultilevel"/>
    <w:tmpl w:val="D34215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74F6E78"/>
    <w:multiLevelType w:val="hybridMultilevel"/>
    <w:tmpl w:val="87868B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92306E9"/>
    <w:multiLevelType w:val="hybridMultilevel"/>
    <w:tmpl w:val="ABD8FCFE"/>
    <w:lvl w:ilvl="0" w:tplc="2408966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CE366E2"/>
    <w:multiLevelType w:val="multilevel"/>
    <w:tmpl w:val="6FD8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4721F"/>
    <w:multiLevelType w:val="hybridMultilevel"/>
    <w:tmpl w:val="C13477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EE3168D"/>
    <w:multiLevelType w:val="hybridMultilevel"/>
    <w:tmpl w:val="96826B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EF95F1F"/>
    <w:multiLevelType w:val="hybridMultilevel"/>
    <w:tmpl w:val="EB8613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FAF2707"/>
    <w:multiLevelType w:val="hybridMultilevel"/>
    <w:tmpl w:val="FDA8AA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3D9678F"/>
    <w:multiLevelType w:val="hybridMultilevel"/>
    <w:tmpl w:val="3D485C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4C26A10"/>
    <w:multiLevelType w:val="hybridMultilevel"/>
    <w:tmpl w:val="538ED1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4D82EFB"/>
    <w:multiLevelType w:val="hybridMultilevel"/>
    <w:tmpl w:val="2A9291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72B5D37"/>
    <w:multiLevelType w:val="multilevel"/>
    <w:tmpl w:val="AB766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C07A52"/>
    <w:multiLevelType w:val="hybridMultilevel"/>
    <w:tmpl w:val="FA6A67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3D24E15"/>
    <w:multiLevelType w:val="hybridMultilevel"/>
    <w:tmpl w:val="8870C27C"/>
    <w:numStyleLink w:val="Estiloimportado1"/>
  </w:abstractNum>
  <w:abstractNum w:abstractNumId="15" w15:restartNumberingAfterBreak="0">
    <w:nsid w:val="458D0779"/>
    <w:multiLevelType w:val="hybridMultilevel"/>
    <w:tmpl w:val="AF90A4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3680573"/>
    <w:multiLevelType w:val="hybridMultilevel"/>
    <w:tmpl w:val="711A96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69D0A3C"/>
    <w:multiLevelType w:val="hybridMultilevel"/>
    <w:tmpl w:val="8EAE37A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15:restartNumberingAfterBreak="0">
    <w:nsid w:val="56C336F5"/>
    <w:multiLevelType w:val="hybridMultilevel"/>
    <w:tmpl w:val="3634D4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9944A39"/>
    <w:multiLevelType w:val="hybridMultilevel"/>
    <w:tmpl w:val="585C26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A76187E"/>
    <w:multiLevelType w:val="hybridMultilevel"/>
    <w:tmpl w:val="BB86A178"/>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D8211D6"/>
    <w:multiLevelType w:val="hybridMultilevel"/>
    <w:tmpl w:val="E222F8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9273B59"/>
    <w:multiLevelType w:val="hybridMultilevel"/>
    <w:tmpl w:val="A106046A"/>
    <w:lvl w:ilvl="0" w:tplc="E72E818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F8759FB"/>
    <w:multiLevelType w:val="hybridMultilevel"/>
    <w:tmpl w:val="6FF0DEEE"/>
    <w:lvl w:ilvl="0" w:tplc="00EEF5E0">
      <w:start w:val="1"/>
      <w:numFmt w:val="bullet"/>
      <w:lvlText w:val="•"/>
      <w:lvlJc w:val="left"/>
      <w:pPr>
        <w:spacing w:after="80"/>
        <w:ind w:left="600" w:hanging="300"/>
      </w:pPr>
    </w:lvl>
    <w:lvl w:ilvl="1" w:tplc="1E52AC32">
      <w:numFmt w:val="decimal"/>
      <w:lvlText w:val=""/>
      <w:lvlJc w:val="left"/>
    </w:lvl>
    <w:lvl w:ilvl="2" w:tplc="8D7446F8">
      <w:numFmt w:val="decimal"/>
      <w:lvlText w:val=""/>
      <w:lvlJc w:val="left"/>
    </w:lvl>
    <w:lvl w:ilvl="3" w:tplc="27C052F2">
      <w:numFmt w:val="decimal"/>
      <w:lvlText w:val=""/>
      <w:lvlJc w:val="left"/>
    </w:lvl>
    <w:lvl w:ilvl="4" w:tplc="9D204B38">
      <w:numFmt w:val="decimal"/>
      <w:lvlText w:val=""/>
      <w:lvlJc w:val="left"/>
    </w:lvl>
    <w:lvl w:ilvl="5" w:tplc="19762692">
      <w:numFmt w:val="decimal"/>
      <w:lvlText w:val=""/>
      <w:lvlJc w:val="left"/>
    </w:lvl>
    <w:lvl w:ilvl="6" w:tplc="2C66A58C">
      <w:numFmt w:val="decimal"/>
      <w:lvlText w:val=""/>
      <w:lvlJc w:val="left"/>
    </w:lvl>
    <w:lvl w:ilvl="7" w:tplc="5A086F76">
      <w:numFmt w:val="decimal"/>
      <w:lvlText w:val=""/>
      <w:lvlJc w:val="left"/>
    </w:lvl>
    <w:lvl w:ilvl="8" w:tplc="7AAEDCBA">
      <w:numFmt w:val="decimal"/>
      <w:lvlText w:val=""/>
      <w:lvlJc w:val="left"/>
    </w:lvl>
  </w:abstractNum>
  <w:abstractNum w:abstractNumId="24" w15:restartNumberingAfterBreak="0">
    <w:nsid w:val="71BA4AAF"/>
    <w:multiLevelType w:val="hybridMultilevel"/>
    <w:tmpl w:val="A7F633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37E75C2"/>
    <w:multiLevelType w:val="hybridMultilevel"/>
    <w:tmpl w:val="3BC42FC8"/>
    <w:lvl w:ilvl="0" w:tplc="ABAC9ACE">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BAF4C59"/>
    <w:multiLevelType w:val="hybridMultilevel"/>
    <w:tmpl w:val="939EC0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61372373">
    <w:abstractNumId w:val="0"/>
  </w:num>
  <w:num w:numId="2" w16cid:durableId="1245912756">
    <w:abstractNumId w:val="14"/>
  </w:num>
  <w:num w:numId="3" w16cid:durableId="450562688">
    <w:abstractNumId w:val="17"/>
  </w:num>
  <w:num w:numId="4" w16cid:durableId="522013189">
    <w:abstractNumId w:val="7"/>
  </w:num>
  <w:num w:numId="5" w16cid:durableId="737439163">
    <w:abstractNumId w:val="6"/>
  </w:num>
  <w:num w:numId="6" w16cid:durableId="2004043898">
    <w:abstractNumId w:val="19"/>
  </w:num>
  <w:num w:numId="7" w16cid:durableId="227885049">
    <w:abstractNumId w:val="8"/>
  </w:num>
  <w:num w:numId="8" w16cid:durableId="1996950602">
    <w:abstractNumId w:val="26"/>
  </w:num>
  <w:num w:numId="9" w16cid:durableId="1878733080">
    <w:abstractNumId w:val="3"/>
  </w:num>
  <w:num w:numId="10" w16cid:durableId="1763450229">
    <w:abstractNumId w:val="20"/>
  </w:num>
  <w:num w:numId="11" w16cid:durableId="312833799">
    <w:abstractNumId w:val="2"/>
  </w:num>
  <w:num w:numId="12" w16cid:durableId="990408389">
    <w:abstractNumId w:val="13"/>
  </w:num>
  <w:num w:numId="13" w16cid:durableId="1578125080">
    <w:abstractNumId w:val="16"/>
  </w:num>
  <w:num w:numId="14" w16cid:durableId="770901077">
    <w:abstractNumId w:val="23"/>
    <w:lvlOverride w:ilvl="0">
      <w:startOverride w:val="1"/>
    </w:lvlOverride>
  </w:num>
  <w:num w:numId="15" w16cid:durableId="234363350">
    <w:abstractNumId w:val="24"/>
  </w:num>
  <w:num w:numId="16" w16cid:durableId="1686206187">
    <w:abstractNumId w:val="4"/>
  </w:num>
  <w:num w:numId="17" w16cid:durableId="1771126790">
    <w:abstractNumId w:val="12"/>
  </w:num>
  <w:num w:numId="18" w16cid:durableId="2114350448">
    <w:abstractNumId w:val="18"/>
  </w:num>
  <w:num w:numId="19" w16cid:durableId="497110622">
    <w:abstractNumId w:val="5"/>
  </w:num>
  <w:num w:numId="20" w16cid:durableId="1406338537">
    <w:abstractNumId w:val="11"/>
  </w:num>
  <w:num w:numId="21" w16cid:durableId="1240676166">
    <w:abstractNumId w:val="21"/>
  </w:num>
  <w:num w:numId="22" w16cid:durableId="477578952">
    <w:abstractNumId w:val="1"/>
  </w:num>
  <w:num w:numId="23" w16cid:durableId="824975730">
    <w:abstractNumId w:val="10"/>
  </w:num>
  <w:num w:numId="24" w16cid:durableId="1065101535">
    <w:abstractNumId w:val="9"/>
  </w:num>
  <w:num w:numId="25" w16cid:durableId="883978779">
    <w:abstractNumId w:val="25"/>
  </w:num>
  <w:num w:numId="26" w16cid:durableId="1892030790">
    <w:abstractNumId w:val="15"/>
  </w:num>
  <w:num w:numId="27" w16cid:durableId="7040186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2A9"/>
    <w:rsid w:val="0001517A"/>
    <w:rsid w:val="000175BB"/>
    <w:rsid w:val="000251AF"/>
    <w:rsid w:val="0002598F"/>
    <w:rsid w:val="00061645"/>
    <w:rsid w:val="00065341"/>
    <w:rsid w:val="00065956"/>
    <w:rsid w:val="00066546"/>
    <w:rsid w:val="000670D5"/>
    <w:rsid w:val="000741FB"/>
    <w:rsid w:val="000835E8"/>
    <w:rsid w:val="0009078B"/>
    <w:rsid w:val="00093AB9"/>
    <w:rsid w:val="00096EE1"/>
    <w:rsid w:val="000B163D"/>
    <w:rsid w:val="000B4809"/>
    <w:rsid w:val="000C2F33"/>
    <w:rsid w:val="000D6E05"/>
    <w:rsid w:val="000F0B5C"/>
    <w:rsid w:val="00100306"/>
    <w:rsid w:val="001042B0"/>
    <w:rsid w:val="001204E3"/>
    <w:rsid w:val="0013609A"/>
    <w:rsid w:val="00146954"/>
    <w:rsid w:val="00151A6D"/>
    <w:rsid w:val="00155E64"/>
    <w:rsid w:val="0017002B"/>
    <w:rsid w:val="00176648"/>
    <w:rsid w:val="0018077D"/>
    <w:rsid w:val="001A2E4B"/>
    <w:rsid w:val="001A7AE1"/>
    <w:rsid w:val="001B6161"/>
    <w:rsid w:val="001C4C91"/>
    <w:rsid w:val="001C533C"/>
    <w:rsid w:val="001E2F52"/>
    <w:rsid w:val="001E4467"/>
    <w:rsid w:val="001E5121"/>
    <w:rsid w:val="001E531A"/>
    <w:rsid w:val="001E562C"/>
    <w:rsid w:val="001F7B0E"/>
    <w:rsid w:val="002022B0"/>
    <w:rsid w:val="0020296D"/>
    <w:rsid w:val="0020560F"/>
    <w:rsid w:val="00217580"/>
    <w:rsid w:val="00217591"/>
    <w:rsid w:val="00237300"/>
    <w:rsid w:val="00242EE7"/>
    <w:rsid w:val="00244781"/>
    <w:rsid w:val="0025631D"/>
    <w:rsid w:val="00265199"/>
    <w:rsid w:val="002703B6"/>
    <w:rsid w:val="00281C34"/>
    <w:rsid w:val="00284723"/>
    <w:rsid w:val="00285EA5"/>
    <w:rsid w:val="00287C65"/>
    <w:rsid w:val="002A39D6"/>
    <w:rsid w:val="002A652E"/>
    <w:rsid w:val="002D4BAC"/>
    <w:rsid w:val="002E6C69"/>
    <w:rsid w:val="002F082E"/>
    <w:rsid w:val="002F1659"/>
    <w:rsid w:val="002F4A4A"/>
    <w:rsid w:val="00302243"/>
    <w:rsid w:val="0030699E"/>
    <w:rsid w:val="00312321"/>
    <w:rsid w:val="0032004E"/>
    <w:rsid w:val="00333A72"/>
    <w:rsid w:val="00354579"/>
    <w:rsid w:val="00354F63"/>
    <w:rsid w:val="003554E2"/>
    <w:rsid w:val="003560E8"/>
    <w:rsid w:val="00361695"/>
    <w:rsid w:val="00363B5D"/>
    <w:rsid w:val="00363EB5"/>
    <w:rsid w:val="003650DE"/>
    <w:rsid w:val="00366970"/>
    <w:rsid w:val="00366BF5"/>
    <w:rsid w:val="00373DCE"/>
    <w:rsid w:val="00382F4C"/>
    <w:rsid w:val="003903B5"/>
    <w:rsid w:val="00390F01"/>
    <w:rsid w:val="00393CAD"/>
    <w:rsid w:val="003A20EA"/>
    <w:rsid w:val="003B0E1E"/>
    <w:rsid w:val="003B5A0E"/>
    <w:rsid w:val="003D1213"/>
    <w:rsid w:val="003E3C30"/>
    <w:rsid w:val="003E43A8"/>
    <w:rsid w:val="003E7FC9"/>
    <w:rsid w:val="004114F5"/>
    <w:rsid w:val="00411AB1"/>
    <w:rsid w:val="00451B51"/>
    <w:rsid w:val="004573D3"/>
    <w:rsid w:val="00466560"/>
    <w:rsid w:val="00470481"/>
    <w:rsid w:val="0048001D"/>
    <w:rsid w:val="00495AA4"/>
    <w:rsid w:val="004A0556"/>
    <w:rsid w:val="004B7D34"/>
    <w:rsid w:val="004C0B71"/>
    <w:rsid w:val="004E1A12"/>
    <w:rsid w:val="004E2862"/>
    <w:rsid w:val="004E2DF6"/>
    <w:rsid w:val="004E6B63"/>
    <w:rsid w:val="004E6D7F"/>
    <w:rsid w:val="004F3E47"/>
    <w:rsid w:val="004F7A0F"/>
    <w:rsid w:val="0050072A"/>
    <w:rsid w:val="0050258E"/>
    <w:rsid w:val="00524E28"/>
    <w:rsid w:val="0053421D"/>
    <w:rsid w:val="0053493C"/>
    <w:rsid w:val="00543EC4"/>
    <w:rsid w:val="00544E3B"/>
    <w:rsid w:val="0054717E"/>
    <w:rsid w:val="00556C88"/>
    <w:rsid w:val="00563043"/>
    <w:rsid w:val="005802A9"/>
    <w:rsid w:val="005A2CBA"/>
    <w:rsid w:val="005A352D"/>
    <w:rsid w:val="005A7039"/>
    <w:rsid w:val="005C347C"/>
    <w:rsid w:val="005C6865"/>
    <w:rsid w:val="005D70AF"/>
    <w:rsid w:val="005E19EA"/>
    <w:rsid w:val="005F2A72"/>
    <w:rsid w:val="005F7130"/>
    <w:rsid w:val="0062572D"/>
    <w:rsid w:val="00625FB7"/>
    <w:rsid w:val="00637B9D"/>
    <w:rsid w:val="006553FF"/>
    <w:rsid w:val="00664114"/>
    <w:rsid w:val="00666051"/>
    <w:rsid w:val="00671373"/>
    <w:rsid w:val="006908E8"/>
    <w:rsid w:val="00692BD6"/>
    <w:rsid w:val="00693DA0"/>
    <w:rsid w:val="006949BE"/>
    <w:rsid w:val="00696AD8"/>
    <w:rsid w:val="006E1769"/>
    <w:rsid w:val="00700A2C"/>
    <w:rsid w:val="00703371"/>
    <w:rsid w:val="007164E6"/>
    <w:rsid w:val="007170B5"/>
    <w:rsid w:val="007372B5"/>
    <w:rsid w:val="00747CD8"/>
    <w:rsid w:val="007618BE"/>
    <w:rsid w:val="007648C7"/>
    <w:rsid w:val="007832F6"/>
    <w:rsid w:val="007916B2"/>
    <w:rsid w:val="007C0D19"/>
    <w:rsid w:val="007C4366"/>
    <w:rsid w:val="007C43EF"/>
    <w:rsid w:val="007D289D"/>
    <w:rsid w:val="007E38D2"/>
    <w:rsid w:val="007F6882"/>
    <w:rsid w:val="007F7A3A"/>
    <w:rsid w:val="0080768C"/>
    <w:rsid w:val="00807D90"/>
    <w:rsid w:val="0083274C"/>
    <w:rsid w:val="00843FA9"/>
    <w:rsid w:val="00852E34"/>
    <w:rsid w:val="00863960"/>
    <w:rsid w:val="00874888"/>
    <w:rsid w:val="00875C5D"/>
    <w:rsid w:val="00876153"/>
    <w:rsid w:val="00880A20"/>
    <w:rsid w:val="00893138"/>
    <w:rsid w:val="008967AE"/>
    <w:rsid w:val="008A44EF"/>
    <w:rsid w:val="008A7420"/>
    <w:rsid w:val="008B1C26"/>
    <w:rsid w:val="008B4B14"/>
    <w:rsid w:val="008C0D97"/>
    <w:rsid w:val="008D218B"/>
    <w:rsid w:val="008D2BE9"/>
    <w:rsid w:val="008D591B"/>
    <w:rsid w:val="008E0D7A"/>
    <w:rsid w:val="008F067E"/>
    <w:rsid w:val="00906442"/>
    <w:rsid w:val="00911DE7"/>
    <w:rsid w:val="00913301"/>
    <w:rsid w:val="00920803"/>
    <w:rsid w:val="00935496"/>
    <w:rsid w:val="00937BF9"/>
    <w:rsid w:val="00940FAB"/>
    <w:rsid w:val="0094445F"/>
    <w:rsid w:val="00945C95"/>
    <w:rsid w:val="00960284"/>
    <w:rsid w:val="009766EC"/>
    <w:rsid w:val="00977F30"/>
    <w:rsid w:val="0098605E"/>
    <w:rsid w:val="0099544A"/>
    <w:rsid w:val="009A7D3C"/>
    <w:rsid w:val="009C4CAC"/>
    <w:rsid w:val="009D5059"/>
    <w:rsid w:val="009F288C"/>
    <w:rsid w:val="009F4481"/>
    <w:rsid w:val="009F5D3E"/>
    <w:rsid w:val="00A04FDC"/>
    <w:rsid w:val="00A2252A"/>
    <w:rsid w:val="00A27B84"/>
    <w:rsid w:val="00A31EC3"/>
    <w:rsid w:val="00A35B85"/>
    <w:rsid w:val="00A360E6"/>
    <w:rsid w:val="00A43978"/>
    <w:rsid w:val="00A44246"/>
    <w:rsid w:val="00A44C67"/>
    <w:rsid w:val="00A52F38"/>
    <w:rsid w:val="00A532B5"/>
    <w:rsid w:val="00A60A88"/>
    <w:rsid w:val="00A64BEE"/>
    <w:rsid w:val="00A72FAD"/>
    <w:rsid w:val="00A8174A"/>
    <w:rsid w:val="00A83561"/>
    <w:rsid w:val="00A86109"/>
    <w:rsid w:val="00AA1D72"/>
    <w:rsid w:val="00AA4457"/>
    <w:rsid w:val="00AA5089"/>
    <w:rsid w:val="00AA53B4"/>
    <w:rsid w:val="00AB3821"/>
    <w:rsid w:val="00AE4D79"/>
    <w:rsid w:val="00AE6591"/>
    <w:rsid w:val="00B038EC"/>
    <w:rsid w:val="00B361D7"/>
    <w:rsid w:val="00B5536C"/>
    <w:rsid w:val="00B63C8A"/>
    <w:rsid w:val="00B653F7"/>
    <w:rsid w:val="00B75207"/>
    <w:rsid w:val="00B75460"/>
    <w:rsid w:val="00B806B2"/>
    <w:rsid w:val="00B814D3"/>
    <w:rsid w:val="00B834C5"/>
    <w:rsid w:val="00B879DC"/>
    <w:rsid w:val="00B938E2"/>
    <w:rsid w:val="00BA7DD3"/>
    <w:rsid w:val="00BD29C3"/>
    <w:rsid w:val="00BF0E52"/>
    <w:rsid w:val="00BF202B"/>
    <w:rsid w:val="00BF5227"/>
    <w:rsid w:val="00BF5F93"/>
    <w:rsid w:val="00C12911"/>
    <w:rsid w:val="00C21726"/>
    <w:rsid w:val="00C3044E"/>
    <w:rsid w:val="00C60A1C"/>
    <w:rsid w:val="00C63D12"/>
    <w:rsid w:val="00C669E5"/>
    <w:rsid w:val="00C768A8"/>
    <w:rsid w:val="00C80653"/>
    <w:rsid w:val="00C826DE"/>
    <w:rsid w:val="00C82CE2"/>
    <w:rsid w:val="00CB7409"/>
    <w:rsid w:val="00CC4ADE"/>
    <w:rsid w:val="00CD6908"/>
    <w:rsid w:val="00CE3099"/>
    <w:rsid w:val="00CE4890"/>
    <w:rsid w:val="00CF325C"/>
    <w:rsid w:val="00CF6AC5"/>
    <w:rsid w:val="00D05BBD"/>
    <w:rsid w:val="00D05D9A"/>
    <w:rsid w:val="00D07825"/>
    <w:rsid w:val="00D117EE"/>
    <w:rsid w:val="00D11BBC"/>
    <w:rsid w:val="00D555C8"/>
    <w:rsid w:val="00D61614"/>
    <w:rsid w:val="00D66D6F"/>
    <w:rsid w:val="00D90D5D"/>
    <w:rsid w:val="00D92262"/>
    <w:rsid w:val="00D96215"/>
    <w:rsid w:val="00DA7979"/>
    <w:rsid w:val="00DC2140"/>
    <w:rsid w:val="00DC7837"/>
    <w:rsid w:val="00DD273C"/>
    <w:rsid w:val="00DE7551"/>
    <w:rsid w:val="00DF507E"/>
    <w:rsid w:val="00DF5C63"/>
    <w:rsid w:val="00DF65A1"/>
    <w:rsid w:val="00E0626E"/>
    <w:rsid w:val="00E115BA"/>
    <w:rsid w:val="00E228F4"/>
    <w:rsid w:val="00E435F4"/>
    <w:rsid w:val="00E54D51"/>
    <w:rsid w:val="00E573DE"/>
    <w:rsid w:val="00E578A6"/>
    <w:rsid w:val="00E80E13"/>
    <w:rsid w:val="00E87B20"/>
    <w:rsid w:val="00E96211"/>
    <w:rsid w:val="00EA0987"/>
    <w:rsid w:val="00EA1A0F"/>
    <w:rsid w:val="00EA20FB"/>
    <w:rsid w:val="00EA551F"/>
    <w:rsid w:val="00EB48D0"/>
    <w:rsid w:val="00EB79C0"/>
    <w:rsid w:val="00ED216D"/>
    <w:rsid w:val="00ED7676"/>
    <w:rsid w:val="00EF5049"/>
    <w:rsid w:val="00F14FB0"/>
    <w:rsid w:val="00F34B5D"/>
    <w:rsid w:val="00F360D1"/>
    <w:rsid w:val="00F41A69"/>
    <w:rsid w:val="00F471AA"/>
    <w:rsid w:val="00F507A3"/>
    <w:rsid w:val="00F52794"/>
    <w:rsid w:val="00F604F4"/>
    <w:rsid w:val="00F83F4F"/>
    <w:rsid w:val="00F86824"/>
    <w:rsid w:val="00F90453"/>
    <w:rsid w:val="00F938BB"/>
    <w:rsid w:val="00F97782"/>
    <w:rsid w:val="00FB30EB"/>
    <w:rsid w:val="00FB6D4C"/>
    <w:rsid w:val="00FC0CC2"/>
    <w:rsid w:val="00FC1648"/>
    <w:rsid w:val="00FC17A5"/>
    <w:rsid w:val="00FC410F"/>
    <w:rsid w:val="00FD2F5D"/>
    <w:rsid w:val="00FE034C"/>
    <w:rsid w:val="00FE5707"/>
    <w:rsid w:val="00FF609B"/>
    <w:rsid w:val="00FF68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8DE34"/>
  <w15:docId w15:val="{63822BB7-3A95-4123-8810-CCDAF4A3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802A9"/>
    <w:rPr>
      <w:sz w:val="24"/>
      <w:szCs w:val="24"/>
      <w:lang w:val="en-US" w:eastAsia="en-US"/>
    </w:rPr>
  </w:style>
  <w:style w:type="paragraph" w:styleId="Ttulo2">
    <w:name w:val="heading 2"/>
    <w:basedOn w:val="Normal"/>
    <w:next w:val="Normal"/>
    <w:link w:val="Ttulo2Car"/>
    <w:uiPriority w:val="9"/>
    <w:semiHidden/>
    <w:unhideWhenUsed/>
    <w:qFormat/>
    <w:rsid w:val="007C436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DF5C63"/>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5802A9"/>
    <w:rPr>
      <w:u w:val="single"/>
    </w:rPr>
  </w:style>
  <w:style w:type="table" w:customStyle="1" w:styleId="TableNormal">
    <w:name w:val="Table Normal"/>
    <w:rsid w:val="005802A9"/>
    <w:tblPr>
      <w:tblInd w:w="0" w:type="dxa"/>
      <w:tblCellMar>
        <w:top w:w="0" w:type="dxa"/>
        <w:left w:w="0" w:type="dxa"/>
        <w:bottom w:w="0" w:type="dxa"/>
        <w:right w:w="0" w:type="dxa"/>
      </w:tblCellMar>
    </w:tblPr>
  </w:style>
  <w:style w:type="paragraph" w:customStyle="1" w:styleId="Cabeceraypie">
    <w:name w:val="Cabecera y pie"/>
    <w:rsid w:val="005802A9"/>
    <w:pPr>
      <w:tabs>
        <w:tab w:val="right" w:pos="9020"/>
      </w:tabs>
    </w:pPr>
    <w:rPr>
      <w:rFonts w:ascii="Helvetica Neue" w:hAnsi="Helvetica Neue" w:cs="Arial Unicode MS"/>
      <w:color w:val="000000"/>
      <w:sz w:val="24"/>
      <w:szCs w:val="24"/>
    </w:rPr>
  </w:style>
  <w:style w:type="paragraph" w:customStyle="1" w:styleId="Cuerpo">
    <w:name w:val="Cuerpo"/>
    <w:rsid w:val="005802A9"/>
    <w:pPr>
      <w:spacing w:after="160" w:line="259" w:lineRule="auto"/>
    </w:pPr>
    <w:rPr>
      <w:rFonts w:ascii="Calibri" w:hAnsi="Calibri" w:cs="Arial Unicode MS"/>
      <w:color w:val="000000"/>
      <w:sz w:val="22"/>
      <w:szCs w:val="22"/>
      <w:u w:color="000000"/>
    </w:rPr>
  </w:style>
  <w:style w:type="character" w:customStyle="1" w:styleId="Ninguno">
    <w:name w:val="Ninguno"/>
    <w:rsid w:val="005802A9"/>
  </w:style>
  <w:style w:type="character" w:customStyle="1" w:styleId="NingunoA">
    <w:name w:val="Ninguno A"/>
    <w:basedOn w:val="Ninguno"/>
    <w:rsid w:val="005802A9"/>
  </w:style>
  <w:style w:type="paragraph" w:customStyle="1" w:styleId="CuerpoA">
    <w:name w:val="Cuerpo A"/>
    <w:rsid w:val="005802A9"/>
    <w:pPr>
      <w:spacing w:after="160" w:line="259" w:lineRule="auto"/>
    </w:pPr>
    <w:rPr>
      <w:rFonts w:ascii="Calibri" w:hAnsi="Calibri" w:cs="Arial Unicode MS"/>
      <w:color w:val="000000"/>
      <w:sz w:val="22"/>
      <w:szCs w:val="22"/>
      <w:u w:color="000000"/>
      <w:lang w:val="es-ES_tradnl"/>
    </w:rPr>
  </w:style>
  <w:style w:type="paragraph" w:styleId="Prrafodelista">
    <w:name w:val="List Paragraph"/>
    <w:qFormat/>
    <w:rsid w:val="005802A9"/>
    <w:pPr>
      <w:ind w:left="720"/>
    </w:pPr>
    <w:rPr>
      <w:rFonts w:cs="Arial Unicode MS"/>
      <w:color w:val="000000"/>
      <w:sz w:val="24"/>
      <w:szCs w:val="24"/>
      <w:u w:color="000000"/>
      <w:lang w:val="en-US"/>
    </w:rPr>
  </w:style>
  <w:style w:type="numbering" w:customStyle="1" w:styleId="Estiloimportado1">
    <w:name w:val="Estilo importado 1"/>
    <w:rsid w:val="005802A9"/>
    <w:pPr>
      <w:numPr>
        <w:numId w:val="1"/>
      </w:numPr>
    </w:pPr>
  </w:style>
  <w:style w:type="paragraph" w:customStyle="1" w:styleId="cuerpo0">
    <w:name w:val="cuerpo"/>
    <w:rsid w:val="005802A9"/>
    <w:pPr>
      <w:spacing w:before="100" w:after="100"/>
    </w:pPr>
    <w:rPr>
      <w:rFonts w:cs="Arial Unicode MS"/>
      <w:color w:val="000000"/>
      <w:sz w:val="24"/>
      <w:szCs w:val="24"/>
      <w:u w:color="000000"/>
      <w:lang w:val="es-ES_tradnl"/>
    </w:rPr>
  </w:style>
  <w:style w:type="character" w:customStyle="1" w:styleId="Hyperlink0">
    <w:name w:val="Hyperlink.0"/>
    <w:basedOn w:val="Ninguno"/>
    <w:rsid w:val="005802A9"/>
    <w:rPr>
      <w:rFonts w:ascii="Calibri" w:eastAsia="Calibri" w:hAnsi="Calibri" w:cs="Calibri"/>
      <w:b/>
      <w:bCs/>
      <w:color w:val="0000FF"/>
      <w:u w:val="single" w:color="0000FF"/>
      <w14:textOutline w14:w="0" w14:cap="rnd" w14:cmpd="sng" w14:algn="ctr">
        <w14:noFill/>
        <w14:prstDash w14:val="solid"/>
        <w14:bevel/>
      </w14:textOutline>
    </w:rPr>
  </w:style>
  <w:style w:type="character" w:customStyle="1" w:styleId="Hyperlink1">
    <w:name w:val="Hyperlink.1"/>
    <w:basedOn w:val="Ninguno"/>
    <w:rsid w:val="005802A9"/>
    <w:rPr>
      <w:color w:val="0000FF"/>
      <w:u w:val="single" w:color="0000FF"/>
      <w:lang w:val="es-ES_tradnl"/>
      <w14:textOutline w14:w="0" w14:cap="rnd" w14:cmpd="sng" w14:algn="ctr">
        <w14:noFill/>
        <w14:prstDash w14:val="solid"/>
        <w14:bevel/>
      </w14:textOutline>
    </w:rPr>
  </w:style>
  <w:style w:type="character" w:customStyle="1" w:styleId="Hyperlink2">
    <w:name w:val="Hyperlink.2"/>
    <w:basedOn w:val="Ninguno"/>
    <w:rsid w:val="005802A9"/>
    <w:rPr>
      <w:rFonts w:ascii="Calibri" w:eastAsia="Calibri" w:hAnsi="Calibri" w:cs="Calibri"/>
      <w:color w:val="0000FF"/>
      <w:sz w:val="20"/>
      <w:szCs w:val="20"/>
      <w:u w:val="single" w:color="0000FF"/>
      <w:lang w:val="es-ES_tradnl"/>
      <w14:textOutline w14:w="0" w14:cap="rnd" w14:cmpd="sng" w14:algn="ctr">
        <w14:noFill/>
        <w14:prstDash w14:val="solid"/>
        <w14:bevel/>
      </w14:textOutline>
    </w:rPr>
  </w:style>
  <w:style w:type="paragraph" w:styleId="Textodeglobo">
    <w:name w:val="Balloon Text"/>
    <w:basedOn w:val="Normal"/>
    <w:link w:val="TextodegloboCar"/>
    <w:uiPriority w:val="99"/>
    <w:semiHidden/>
    <w:unhideWhenUsed/>
    <w:rsid w:val="0009078B"/>
    <w:rPr>
      <w:rFonts w:ascii="Tahoma" w:hAnsi="Tahoma" w:cs="Tahoma"/>
      <w:sz w:val="16"/>
      <w:szCs w:val="16"/>
    </w:rPr>
  </w:style>
  <w:style w:type="character" w:customStyle="1" w:styleId="TextodegloboCar">
    <w:name w:val="Texto de globo Car"/>
    <w:basedOn w:val="Fuentedeprrafopredeter"/>
    <w:link w:val="Textodeglobo"/>
    <w:uiPriority w:val="99"/>
    <w:semiHidden/>
    <w:rsid w:val="0009078B"/>
    <w:rPr>
      <w:rFonts w:ascii="Tahoma" w:hAnsi="Tahoma" w:cs="Tahoma"/>
      <w:sz w:val="16"/>
      <w:szCs w:val="16"/>
      <w:lang w:val="en-US" w:eastAsia="en-US"/>
    </w:rPr>
  </w:style>
  <w:style w:type="character" w:styleId="Refdecomentario">
    <w:name w:val="annotation reference"/>
    <w:basedOn w:val="Fuentedeprrafopredeter"/>
    <w:uiPriority w:val="99"/>
    <w:semiHidden/>
    <w:unhideWhenUsed/>
    <w:rsid w:val="0009078B"/>
    <w:rPr>
      <w:sz w:val="16"/>
      <w:szCs w:val="16"/>
    </w:rPr>
  </w:style>
  <w:style w:type="paragraph" w:styleId="Textocomentario">
    <w:name w:val="annotation text"/>
    <w:basedOn w:val="Normal"/>
    <w:link w:val="TextocomentarioCar"/>
    <w:uiPriority w:val="99"/>
    <w:unhideWhenUsed/>
    <w:rsid w:val="0009078B"/>
    <w:rPr>
      <w:sz w:val="20"/>
      <w:szCs w:val="20"/>
    </w:rPr>
  </w:style>
  <w:style w:type="character" w:customStyle="1" w:styleId="TextocomentarioCar">
    <w:name w:val="Texto comentario Car"/>
    <w:basedOn w:val="Fuentedeprrafopredeter"/>
    <w:link w:val="Textocomentario"/>
    <w:uiPriority w:val="99"/>
    <w:rsid w:val="0009078B"/>
    <w:rPr>
      <w:lang w:val="en-US" w:eastAsia="en-US"/>
    </w:rPr>
  </w:style>
  <w:style w:type="paragraph" w:styleId="Asuntodelcomentario">
    <w:name w:val="annotation subject"/>
    <w:basedOn w:val="Textocomentario"/>
    <w:next w:val="Textocomentario"/>
    <w:link w:val="AsuntodelcomentarioCar"/>
    <w:uiPriority w:val="99"/>
    <w:semiHidden/>
    <w:unhideWhenUsed/>
    <w:rsid w:val="0009078B"/>
    <w:rPr>
      <w:b/>
      <w:bCs/>
    </w:rPr>
  </w:style>
  <w:style w:type="character" w:customStyle="1" w:styleId="AsuntodelcomentarioCar">
    <w:name w:val="Asunto del comentario Car"/>
    <w:basedOn w:val="TextocomentarioCar"/>
    <w:link w:val="Asuntodelcomentario"/>
    <w:uiPriority w:val="99"/>
    <w:semiHidden/>
    <w:rsid w:val="0009078B"/>
    <w:rPr>
      <w:b/>
      <w:bCs/>
      <w:lang w:val="en-US" w:eastAsia="en-US"/>
    </w:rPr>
  </w:style>
  <w:style w:type="paragraph" w:styleId="Revisin">
    <w:name w:val="Revision"/>
    <w:hidden/>
    <w:uiPriority w:val="99"/>
    <w:semiHidden/>
    <w:rsid w:val="00700A2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B814D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styleId="Fuerte">
    <w:name w:val="Strong"/>
    <w:basedOn w:val="Fuentedeprrafopredeter"/>
    <w:uiPriority w:val="22"/>
    <w:qFormat/>
    <w:rsid w:val="00B814D3"/>
    <w:rPr>
      <w:b/>
      <w:bCs/>
    </w:rPr>
  </w:style>
  <w:style w:type="paragraph" w:customStyle="1" w:styleId="cuerpob">
    <w:name w:val="cuerpob"/>
    <w:basedOn w:val="Normal"/>
    <w:rsid w:val="00B814D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customStyle="1" w:styleId="ninguno0">
    <w:name w:val="ninguno"/>
    <w:basedOn w:val="Fuentedeprrafopredeter"/>
    <w:rsid w:val="001B6161"/>
  </w:style>
  <w:style w:type="paragraph" w:styleId="Encabezado">
    <w:name w:val="header"/>
    <w:basedOn w:val="Normal"/>
    <w:link w:val="EncabezadoCar"/>
    <w:uiPriority w:val="99"/>
    <w:unhideWhenUsed/>
    <w:rsid w:val="00913301"/>
    <w:pPr>
      <w:tabs>
        <w:tab w:val="center" w:pos="4252"/>
        <w:tab w:val="right" w:pos="8504"/>
      </w:tabs>
    </w:pPr>
  </w:style>
  <w:style w:type="character" w:customStyle="1" w:styleId="EncabezadoCar">
    <w:name w:val="Encabezado Car"/>
    <w:basedOn w:val="Fuentedeprrafopredeter"/>
    <w:link w:val="Encabezado"/>
    <w:uiPriority w:val="99"/>
    <w:rsid w:val="00913301"/>
    <w:rPr>
      <w:sz w:val="24"/>
      <w:szCs w:val="24"/>
      <w:lang w:val="en-US" w:eastAsia="en-US"/>
    </w:rPr>
  </w:style>
  <w:style w:type="paragraph" w:styleId="Piedepgina">
    <w:name w:val="footer"/>
    <w:basedOn w:val="Normal"/>
    <w:link w:val="PiedepginaCar"/>
    <w:uiPriority w:val="99"/>
    <w:unhideWhenUsed/>
    <w:rsid w:val="00913301"/>
    <w:pPr>
      <w:tabs>
        <w:tab w:val="center" w:pos="4252"/>
        <w:tab w:val="right" w:pos="8504"/>
      </w:tabs>
    </w:pPr>
  </w:style>
  <w:style w:type="character" w:customStyle="1" w:styleId="PiedepginaCar">
    <w:name w:val="Pie de página Car"/>
    <w:basedOn w:val="Fuentedeprrafopredeter"/>
    <w:link w:val="Piedepgina"/>
    <w:uiPriority w:val="99"/>
    <w:rsid w:val="00913301"/>
    <w:rPr>
      <w:sz w:val="24"/>
      <w:szCs w:val="24"/>
      <w:lang w:val="en-US" w:eastAsia="en-US"/>
    </w:rPr>
  </w:style>
  <w:style w:type="paragraph" w:customStyle="1" w:styleId="isselectedend">
    <w:name w:val="isselectedend"/>
    <w:basedOn w:val="Normal"/>
    <w:rsid w:val="0024478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paragraph" w:customStyle="1" w:styleId="font-claude-response-body">
    <w:name w:val="font-claude-response-body"/>
    <w:basedOn w:val="Normal"/>
    <w:rsid w:val="00361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styleId="nfasis">
    <w:name w:val="Emphasis"/>
    <w:basedOn w:val="Fuentedeprrafopredeter"/>
    <w:uiPriority w:val="20"/>
    <w:qFormat/>
    <w:rsid w:val="00333A72"/>
    <w:rPr>
      <w:i/>
      <w:iCs/>
    </w:rPr>
  </w:style>
  <w:style w:type="character" w:customStyle="1" w:styleId="Ttulo2Car">
    <w:name w:val="Título 2 Car"/>
    <w:basedOn w:val="Fuentedeprrafopredeter"/>
    <w:link w:val="Ttulo2"/>
    <w:uiPriority w:val="9"/>
    <w:semiHidden/>
    <w:rsid w:val="007C4366"/>
    <w:rPr>
      <w:rFonts w:asciiTheme="majorHAnsi" w:eastAsiaTheme="majorEastAsia" w:hAnsiTheme="majorHAnsi" w:cstheme="majorBidi"/>
      <w:color w:val="2F5496" w:themeColor="accent1" w:themeShade="BF"/>
      <w:sz w:val="26"/>
      <w:szCs w:val="26"/>
      <w:lang w:val="en-US" w:eastAsia="en-US"/>
    </w:rPr>
  </w:style>
  <w:style w:type="character" w:customStyle="1" w:styleId="Ttulo3Car">
    <w:name w:val="Título 3 Car"/>
    <w:basedOn w:val="Fuentedeprrafopredeter"/>
    <w:link w:val="Ttulo3"/>
    <w:uiPriority w:val="9"/>
    <w:semiHidden/>
    <w:rsid w:val="00DF5C63"/>
    <w:rPr>
      <w:rFonts w:asciiTheme="majorHAnsi" w:eastAsiaTheme="majorEastAsia" w:hAnsiTheme="majorHAnsi" w:cstheme="majorBidi"/>
      <w:color w:val="1F3763"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812222">
      <w:bodyDiv w:val="1"/>
      <w:marLeft w:val="0"/>
      <w:marRight w:val="0"/>
      <w:marTop w:val="0"/>
      <w:marBottom w:val="0"/>
      <w:divBdr>
        <w:top w:val="none" w:sz="0" w:space="0" w:color="auto"/>
        <w:left w:val="none" w:sz="0" w:space="0" w:color="auto"/>
        <w:bottom w:val="none" w:sz="0" w:space="0" w:color="auto"/>
        <w:right w:val="none" w:sz="0" w:space="0" w:color="auto"/>
      </w:divBdr>
    </w:div>
    <w:div w:id="654141162">
      <w:bodyDiv w:val="1"/>
      <w:marLeft w:val="0"/>
      <w:marRight w:val="0"/>
      <w:marTop w:val="0"/>
      <w:marBottom w:val="0"/>
      <w:divBdr>
        <w:top w:val="none" w:sz="0" w:space="0" w:color="auto"/>
        <w:left w:val="none" w:sz="0" w:space="0" w:color="auto"/>
        <w:bottom w:val="none" w:sz="0" w:space="0" w:color="auto"/>
        <w:right w:val="none" w:sz="0" w:space="0" w:color="auto"/>
      </w:divBdr>
    </w:div>
    <w:div w:id="1011298954">
      <w:bodyDiv w:val="1"/>
      <w:marLeft w:val="0"/>
      <w:marRight w:val="0"/>
      <w:marTop w:val="0"/>
      <w:marBottom w:val="0"/>
      <w:divBdr>
        <w:top w:val="none" w:sz="0" w:space="0" w:color="auto"/>
        <w:left w:val="none" w:sz="0" w:space="0" w:color="auto"/>
        <w:bottom w:val="none" w:sz="0" w:space="0" w:color="auto"/>
        <w:right w:val="none" w:sz="0" w:space="0" w:color="auto"/>
      </w:divBdr>
      <w:divsChild>
        <w:div w:id="2107383151">
          <w:blockQuote w:val="1"/>
          <w:marLeft w:val="720"/>
          <w:marRight w:val="720"/>
          <w:marTop w:val="100"/>
          <w:marBottom w:val="100"/>
          <w:divBdr>
            <w:top w:val="none" w:sz="0" w:space="0" w:color="auto"/>
            <w:left w:val="none" w:sz="0" w:space="0" w:color="auto"/>
            <w:bottom w:val="none" w:sz="0" w:space="0" w:color="auto"/>
            <w:right w:val="none" w:sz="0" w:space="0" w:color="auto"/>
          </w:divBdr>
        </w:div>
        <w:div w:id="739986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114010">
      <w:bodyDiv w:val="1"/>
      <w:marLeft w:val="0"/>
      <w:marRight w:val="0"/>
      <w:marTop w:val="0"/>
      <w:marBottom w:val="0"/>
      <w:divBdr>
        <w:top w:val="none" w:sz="0" w:space="0" w:color="auto"/>
        <w:left w:val="none" w:sz="0" w:space="0" w:color="auto"/>
        <w:bottom w:val="none" w:sz="0" w:space="0" w:color="auto"/>
        <w:right w:val="none" w:sz="0" w:space="0" w:color="auto"/>
      </w:divBdr>
      <w:divsChild>
        <w:div w:id="128595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094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070847">
      <w:bodyDiv w:val="1"/>
      <w:marLeft w:val="0"/>
      <w:marRight w:val="0"/>
      <w:marTop w:val="0"/>
      <w:marBottom w:val="0"/>
      <w:divBdr>
        <w:top w:val="none" w:sz="0" w:space="0" w:color="auto"/>
        <w:left w:val="none" w:sz="0" w:space="0" w:color="auto"/>
        <w:bottom w:val="none" w:sz="0" w:space="0" w:color="auto"/>
        <w:right w:val="none" w:sz="0" w:space="0" w:color="auto"/>
      </w:divBdr>
      <w:divsChild>
        <w:div w:id="1774471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5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970864">
      <w:bodyDiv w:val="1"/>
      <w:marLeft w:val="0"/>
      <w:marRight w:val="0"/>
      <w:marTop w:val="0"/>
      <w:marBottom w:val="0"/>
      <w:divBdr>
        <w:top w:val="none" w:sz="0" w:space="0" w:color="auto"/>
        <w:left w:val="none" w:sz="0" w:space="0" w:color="auto"/>
        <w:bottom w:val="none" w:sz="0" w:space="0" w:color="auto"/>
        <w:right w:val="none" w:sz="0" w:space="0" w:color="auto"/>
      </w:divBdr>
    </w:div>
    <w:div w:id="1811745812">
      <w:bodyDiv w:val="1"/>
      <w:marLeft w:val="0"/>
      <w:marRight w:val="0"/>
      <w:marTop w:val="0"/>
      <w:marBottom w:val="0"/>
      <w:divBdr>
        <w:top w:val="none" w:sz="0" w:space="0" w:color="auto"/>
        <w:left w:val="none" w:sz="0" w:space="0" w:color="auto"/>
        <w:bottom w:val="none" w:sz="0" w:space="0" w:color="auto"/>
        <w:right w:val="none" w:sz="0" w:space="0" w:color="auto"/>
      </w:divBdr>
      <w:divsChild>
        <w:div w:id="1385253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7080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81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mcesa.com" TargetMode="External"/><Relationship Id="rId3" Type="http://schemas.openxmlformats.org/officeDocument/2006/relationships/settings" Target="settings.xml"/><Relationship Id="rId7" Type="http://schemas.openxmlformats.org/officeDocument/2006/relationships/hyperlink" Target="mailto:emcesa@agrifood.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eliaco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890</Words>
  <Characters>4900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del carmen martinez mulleras</dc:creator>
  <cp:lastModifiedBy>María del Carmen Martínez</cp:lastModifiedBy>
  <cp:revision>2</cp:revision>
  <dcterms:created xsi:type="dcterms:W3CDTF">2026-09-28T07:13:00Z</dcterms:created>
  <dcterms:modified xsi:type="dcterms:W3CDTF">2026-09-28T07:13:00Z</dcterms:modified>
</cp:coreProperties>
</file>