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B68303" w14:textId="47CE4273" w:rsidR="00EA69EA" w:rsidRPr="00AC4EAD" w:rsidRDefault="007B2DDA" w:rsidP="00EA69EA">
      <w:pPr>
        <w:shd w:val="clear" w:color="auto" w:fill="FFFFFF"/>
        <w:spacing w:after="360" w:line="240" w:lineRule="auto"/>
        <w:jc w:val="both"/>
        <w:rPr>
          <w:rFonts w:ascii="IberPangea Text" w:eastAsia="Times New Roman" w:hAnsi="IberPangea Text" w:cs="IberPangea Text"/>
          <w:b/>
          <w:bCs/>
          <w:color w:val="EE0000"/>
          <w:sz w:val="48"/>
          <w:lang w:eastAsia="es-ES"/>
        </w:rPr>
      </w:pPr>
      <w:r w:rsidRPr="007B2DDA">
        <w:rPr>
          <w:rFonts w:ascii="IberPangea Text" w:eastAsia="Times New Roman" w:hAnsi="IberPangea Text" w:cs="IberPangea Text"/>
          <w:b/>
          <w:bCs/>
          <w:color w:val="EE0000"/>
          <w:sz w:val="48"/>
          <w:lang w:eastAsia="es-ES"/>
        </w:rPr>
        <w:t>Supermercados El Jamón llega a Santa Fe y Arcos de la Frontera con dos nuevas aperturas</w:t>
      </w:r>
    </w:p>
    <w:p w14:paraId="43CD101A" w14:textId="31716D7B" w:rsidR="00EA69EA" w:rsidRDefault="007B2DDA" w:rsidP="00AC4EAD">
      <w:pPr>
        <w:spacing w:before="100" w:beforeAutospacing="1" w:after="0" w:afterAutospacing="1" w:line="259" w:lineRule="auto"/>
        <w:jc w:val="both"/>
        <w:textAlignment w:val="baseline"/>
        <w:rPr>
          <w:rFonts w:ascii="IberPangea Text" w:eastAsia="Times New Roman" w:hAnsi="IberPangea Text" w:cs="IberPangea Text"/>
          <w:i/>
          <w:iCs/>
          <w:sz w:val="26"/>
          <w:szCs w:val="26"/>
          <w:lang w:eastAsia="en-GB"/>
        </w:rPr>
      </w:pPr>
      <w:r w:rsidRPr="007B2DDA">
        <w:rPr>
          <w:rFonts w:ascii="IberPangea Text" w:eastAsia="Times New Roman" w:hAnsi="IberPangea Text" w:cs="IberPangea Text"/>
          <w:i/>
          <w:iCs/>
          <w:sz w:val="26"/>
          <w:szCs w:val="26"/>
          <w:lang w:eastAsia="en-GB"/>
        </w:rPr>
        <w:t>Los nuevos establecimientos incorporan desde su apertura etiquetas electrónicas de precio en el 100 % de sus lineales</w:t>
      </w:r>
      <w:r w:rsidR="002507EE" w:rsidRPr="002507EE">
        <w:rPr>
          <w:rFonts w:ascii="IberPangea Text" w:eastAsia="Times New Roman" w:hAnsi="IberPangea Text" w:cs="IberPangea Text"/>
          <w:i/>
          <w:iCs/>
          <w:sz w:val="26"/>
          <w:szCs w:val="26"/>
          <w:lang w:eastAsia="en-GB"/>
        </w:rPr>
        <w:t>.</w:t>
      </w:r>
    </w:p>
    <w:p w14:paraId="07BA4CEF" w14:textId="307474E4" w:rsidR="007B2DDA" w:rsidRPr="007B2DDA" w:rsidRDefault="00EA69E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AC4EAD">
        <w:rPr>
          <w:rFonts w:ascii="IberPangea Text" w:eastAsia="Times New Roman" w:hAnsi="IberPangea Text" w:cs="IberPangea Text"/>
          <w:noProof/>
          <w:color w:val="FF0000"/>
          <w:sz w:val="24"/>
          <w:szCs w:val="24"/>
          <w:lang w:eastAsia="en-GB"/>
        </w:rPr>
        <mc:AlternateContent>
          <mc:Choice Requires="wps">
            <w:drawing>
              <wp:anchor distT="0" distB="0" distL="114300" distR="114300" simplePos="0" relativeHeight="251661312" behindDoc="0" locked="0" layoutInCell="1" allowOverlap="1" wp14:anchorId="714F3F89" wp14:editId="15A50CF6">
                <wp:simplePos x="0" y="0"/>
                <wp:positionH relativeFrom="column">
                  <wp:posOffset>0</wp:posOffset>
                </wp:positionH>
                <wp:positionV relativeFrom="paragraph">
                  <wp:posOffset>-635</wp:posOffset>
                </wp:positionV>
                <wp:extent cx="5405718" cy="0"/>
                <wp:effectExtent l="0" t="0" r="0" b="0"/>
                <wp:wrapNone/>
                <wp:docPr id="1751371442" name="Straight Connector 3"/>
                <wp:cNvGraphicFramePr/>
                <a:graphic xmlns:a="http://schemas.openxmlformats.org/drawingml/2006/main">
                  <a:graphicData uri="http://schemas.microsoft.com/office/word/2010/wordprocessingShape">
                    <wps:wsp>
                      <wps:cNvCnPr/>
                      <wps:spPr>
                        <a:xfrm>
                          <a:off x="0" y="0"/>
                          <a:ext cx="5405718" cy="0"/>
                        </a:xfrm>
                        <a:prstGeom prst="line">
                          <a:avLst/>
                        </a:prstGeom>
                        <a:noFill/>
                        <a:ln w="6350" cap="flat" cmpd="sng" algn="ctr">
                          <a:solidFill>
                            <a:srgbClr val="00A343"/>
                          </a:solidFill>
                          <a:prstDash val="solid"/>
                          <a:miter lim="800000"/>
                        </a:ln>
                        <a:effectLst/>
                      </wps:spPr>
                      <wps:bodyPr/>
                    </wps:wsp>
                  </a:graphicData>
                </a:graphic>
              </wp:anchor>
            </w:drawing>
          </mc:Choice>
          <mc:Fallback>
            <w:pict>
              <v:line w14:anchorId="75808B8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0,-.05pt" to="425.6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" strokecolor="#00a343" strokeweight=".5pt">
                <v:stroke joinstyle="miter"/>
              </v:line>
            </w:pict>
          </mc:Fallback>
        </mc:AlternateContent>
      </w:r>
      <w:r w:rsidR="00AC4EAD">
        <w:rPr>
          <w:rFonts w:ascii="IberPangea Text" w:eastAsia="Times New Roman" w:hAnsi="IberPangea Text" w:cs="IberPangea Text"/>
          <w:b/>
          <w:bCs/>
          <w:color w:val="000000"/>
          <w:sz w:val="20"/>
          <w:szCs w:val="20"/>
          <w:lang w:eastAsia="es-ES"/>
        </w:rPr>
        <w:br/>
      </w:r>
      <w:r w:rsidR="007B2DDA" w:rsidRPr="007B2DDA">
        <w:rPr>
          <w:rFonts w:ascii="IberPangea Text" w:eastAsia="Times New Roman" w:hAnsi="IberPangea Text" w:cs="IberPangea Text"/>
          <w:color w:val="000000"/>
          <w:sz w:val="20"/>
          <w:szCs w:val="20"/>
          <w:lang w:eastAsia="es-ES"/>
        </w:rPr>
        <w:t xml:space="preserve">Supermercados El Jamón continúa avanzando en su expansión por Andalucía con la apertura este viernes, </w:t>
      </w:r>
      <w:r w:rsidR="007B2DDA" w:rsidRPr="007B2DDA">
        <w:rPr>
          <w:rFonts w:ascii="IberPangea Text" w:eastAsia="Times New Roman" w:hAnsi="IberPangea Text" w:cs="IberPangea Text"/>
          <w:b/>
          <w:bCs/>
          <w:color w:val="000000"/>
          <w:sz w:val="20"/>
          <w:szCs w:val="20"/>
          <w:lang w:eastAsia="es-ES"/>
        </w:rPr>
        <w:t>25 de septiembre</w:t>
      </w:r>
      <w:r w:rsidR="007B2DDA" w:rsidRPr="007B2DDA">
        <w:rPr>
          <w:rFonts w:ascii="IberPangea Text" w:eastAsia="Times New Roman" w:hAnsi="IberPangea Text" w:cs="IberPangea Text"/>
          <w:color w:val="000000"/>
          <w:sz w:val="20"/>
          <w:szCs w:val="20"/>
          <w:lang w:eastAsia="es-ES"/>
        </w:rPr>
        <w:t xml:space="preserve">, de dos nuevos establecimientos en </w:t>
      </w:r>
      <w:r w:rsidR="007B2DDA">
        <w:rPr>
          <w:rFonts w:ascii="IberPangea Text" w:eastAsia="Times New Roman" w:hAnsi="IberPangea Text" w:cs="IberPangea Text"/>
          <w:b/>
          <w:bCs/>
          <w:color w:val="000000"/>
          <w:sz w:val="20"/>
          <w:szCs w:val="20"/>
          <w:lang w:eastAsia="es-ES"/>
        </w:rPr>
        <w:t xml:space="preserve">las provincias de </w:t>
      </w:r>
      <w:r w:rsidR="007B2DDA" w:rsidRPr="007B2DDA">
        <w:rPr>
          <w:rFonts w:ascii="IberPangea Text" w:eastAsia="Times New Roman" w:hAnsi="IberPangea Text" w:cs="IberPangea Text"/>
          <w:b/>
          <w:bCs/>
          <w:color w:val="000000"/>
          <w:sz w:val="20"/>
          <w:szCs w:val="20"/>
          <w:lang w:eastAsia="es-ES"/>
        </w:rPr>
        <w:t>Granada</w:t>
      </w:r>
      <w:r w:rsidR="007B2DDA" w:rsidRPr="007B2DDA">
        <w:rPr>
          <w:rFonts w:ascii="IberPangea Text" w:eastAsia="Times New Roman" w:hAnsi="IberPangea Text" w:cs="IberPangea Text"/>
          <w:color w:val="000000"/>
          <w:sz w:val="20"/>
          <w:szCs w:val="20"/>
          <w:lang w:eastAsia="es-ES"/>
        </w:rPr>
        <w:t xml:space="preserve"> y </w:t>
      </w:r>
      <w:r w:rsidR="007B2DDA" w:rsidRPr="007B2DDA">
        <w:rPr>
          <w:rFonts w:ascii="IberPangea Text" w:eastAsia="Times New Roman" w:hAnsi="IberPangea Text" w:cs="IberPangea Text"/>
          <w:b/>
          <w:bCs/>
          <w:color w:val="000000"/>
          <w:sz w:val="20"/>
          <w:szCs w:val="20"/>
          <w:lang w:eastAsia="es-ES"/>
        </w:rPr>
        <w:t>Cádiz</w:t>
      </w:r>
      <w:r w:rsidR="007B2DDA" w:rsidRPr="007B2DDA">
        <w:rPr>
          <w:rFonts w:ascii="IberPangea Text" w:eastAsia="Times New Roman" w:hAnsi="IberPangea Text" w:cs="IberPangea Text"/>
          <w:color w:val="000000"/>
          <w:sz w:val="20"/>
          <w:szCs w:val="20"/>
          <w:lang w:eastAsia="es-ES"/>
        </w:rPr>
        <w:t>.</w:t>
      </w:r>
      <w:r w:rsidR="007B2DDA">
        <w:rPr>
          <w:rFonts w:ascii="IberPangea Text" w:eastAsia="Times New Roman" w:hAnsi="IberPangea Text" w:cs="IberPangea Text"/>
          <w:color w:val="000000"/>
          <w:sz w:val="20"/>
          <w:szCs w:val="20"/>
          <w:lang w:eastAsia="es-ES"/>
        </w:rPr>
        <w:t xml:space="preserve"> </w:t>
      </w:r>
      <w:r w:rsidR="007B2DDA" w:rsidRPr="007B2DDA">
        <w:rPr>
          <w:rFonts w:ascii="IberPangea Text" w:eastAsia="Times New Roman" w:hAnsi="IberPangea Text" w:cs="IberPangea Text"/>
          <w:color w:val="000000"/>
          <w:sz w:val="20"/>
          <w:szCs w:val="20"/>
          <w:lang w:eastAsia="es-ES"/>
        </w:rPr>
        <w:t xml:space="preserve">Los nuevos supermercados están situados en la </w:t>
      </w:r>
      <w:r w:rsidR="007B2DDA" w:rsidRPr="007B2DDA">
        <w:rPr>
          <w:rFonts w:ascii="IberPangea Text" w:eastAsia="Times New Roman" w:hAnsi="IberPangea Text" w:cs="IberPangea Text"/>
          <w:b/>
          <w:bCs/>
          <w:color w:val="000000"/>
          <w:sz w:val="20"/>
          <w:szCs w:val="20"/>
          <w:lang w:eastAsia="es-ES"/>
        </w:rPr>
        <w:t>calle Rosa de Luxemburgo, nº5, de Santa Fe</w:t>
      </w:r>
      <w:r w:rsidR="007B2DDA" w:rsidRPr="007B2DDA">
        <w:rPr>
          <w:rFonts w:ascii="IberPangea Text" w:eastAsia="Times New Roman" w:hAnsi="IberPangea Text" w:cs="IberPangea Text"/>
          <w:color w:val="000000"/>
          <w:sz w:val="20"/>
          <w:szCs w:val="20"/>
          <w:lang w:eastAsia="es-ES"/>
        </w:rPr>
        <w:t xml:space="preserve">, y en la </w:t>
      </w:r>
      <w:r w:rsidR="007B2DDA" w:rsidRPr="007B2DDA">
        <w:rPr>
          <w:rFonts w:ascii="IberPangea Text" w:eastAsia="Times New Roman" w:hAnsi="IberPangea Text" w:cs="IberPangea Text"/>
          <w:b/>
          <w:bCs/>
          <w:color w:val="000000"/>
          <w:sz w:val="20"/>
          <w:szCs w:val="20"/>
          <w:lang w:eastAsia="es-ES"/>
        </w:rPr>
        <w:t>Avenida San Juan Bautista, de Arcos de la Frontera</w:t>
      </w:r>
      <w:r w:rsidR="007B2DDA" w:rsidRPr="007B2DDA">
        <w:rPr>
          <w:rFonts w:ascii="IberPangea Text" w:eastAsia="Times New Roman" w:hAnsi="IberPangea Text" w:cs="IberPangea Text"/>
          <w:color w:val="000000"/>
          <w:sz w:val="20"/>
          <w:szCs w:val="20"/>
          <w:lang w:eastAsia="es-ES"/>
        </w:rPr>
        <w:t xml:space="preserve">, y atenderán al público de lunes a sábado, en horario de </w:t>
      </w:r>
      <w:r w:rsidR="007B2DDA" w:rsidRPr="007B2DDA">
        <w:rPr>
          <w:rFonts w:ascii="IberPangea Text" w:eastAsia="Times New Roman" w:hAnsi="IberPangea Text" w:cs="IberPangea Text"/>
          <w:b/>
          <w:bCs/>
          <w:color w:val="000000"/>
          <w:sz w:val="20"/>
          <w:szCs w:val="20"/>
          <w:lang w:eastAsia="es-ES"/>
        </w:rPr>
        <w:t>9:00 a 21:30 horas</w:t>
      </w:r>
      <w:r w:rsidR="007B2DDA" w:rsidRPr="007B2DDA">
        <w:rPr>
          <w:rFonts w:ascii="IberPangea Text" w:eastAsia="Times New Roman" w:hAnsi="IberPangea Text" w:cs="IberPangea Text"/>
          <w:color w:val="000000"/>
          <w:sz w:val="20"/>
          <w:szCs w:val="20"/>
          <w:lang w:eastAsia="es-ES"/>
        </w:rPr>
        <w:t>.</w:t>
      </w:r>
    </w:p>
    <w:p w14:paraId="1126319D"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La apertura de ambos centros supone un nuevo paso dentro del proceso de crecimiento y modernización de la red comercial de Supermercados El Jamón, que continúa reforzando su implantación territorial con establecimientos amplios, secciones especializadas, servicios destinados a facilitar la compra diaria y una importante apuesta por la digitalización.</w:t>
      </w:r>
    </w:p>
    <w:p w14:paraId="0149FDC6"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El nuevo supermercado de </w:t>
      </w:r>
      <w:r w:rsidRPr="007B2DDA">
        <w:rPr>
          <w:rFonts w:ascii="IberPangea Text" w:eastAsia="Times New Roman" w:hAnsi="IberPangea Text" w:cs="IberPangea Text"/>
          <w:b/>
          <w:bCs/>
          <w:color w:val="000000"/>
          <w:sz w:val="20"/>
          <w:szCs w:val="20"/>
          <w:lang w:eastAsia="es-ES"/>
        </w:rPr>
        <w:t>Santa Fe dispone de una superficie de 2.102 metros cuadrados</w:t>
      </w:r>
      <w:r w:rsidRPr="007B2DDA">
        <w:rPr>
          <w:rFonts w:ascii="IberPangea Text" w:eastAsia="Times New Roman" w:hAnsi="IberPangea Text" w:cs="IberPangea Text"/>
          <w:color w:val="000000"/>
          <w:sz w:val="20"/>
          <w:szCs w:val="20"/>
          <w:lang w:eastAsia="es-ES"/>
        </w:rPr>
        <w:t xml:space="preserve">, seis cajas de atención al público y una plantilla formada por </w:t>
      </w:r>
      <w:r w:rsidRPr="007B2DDA">
        <w:rPr>
          <w:rFonts w:ascii="IberPangea Text" w:eastAsia="Times New Roman" w:hAnsi="IberPangea Text" w:cs="IberPangea Text"/>
          <w:b/>
          <w:bCs/>
          <w:color w:val="000000"/>
          <w:sz w:val="20"/>
          <w:szCs w:val="20"/>
          <w:lang w:eastAsia="es-ES"/>
        </w:rPr>
        <w:t>26 profesionales</w:t>
      </w:r>
      <w:r w:rsidRPr="007B2DDA">
        <w:rPr>
          <w:rFonts w:ascii="IberPangea Text" w:eastAsia="Times New Roman" w:hAnsi="IberPangea Text" w:cs="IberPangea Text"/>
          <w:color w:val="000000"/>
          <w:sz w:val="20"/>
          <w:szCs w:val="20"/>
          <w:lang w:eastAsia="es-ES"/>
        </w:rPr>
        <w:t xml:space="preserve">. Además, los clientes cuentan con un aparcamiento con </w:t>
      </w:r>
      <w:r w:rsidRPr="007B2DDA">
        <w:rPr>
          <w:rFonts w:ascii="IberPangea Text" w:eastAsia="Times New Roman" w:hAnsi="IberPangea Text" w:cs="IberPangea Text"/>
          <w:b/>
          <w:bCs/>
          <w:color w:val="000000"/>
          <w:sz w:val="20"/>
          <w:szCs w:val="20"/>
          <w:lang w:eastAsia="es-ES"/>
        </w:rPr>
        <w:t>más de 90 plazas</w:t>
      </w:r>
      <w:r w:rsidRPr="007B2DDA">
        <w:rPr>
          <w:rFonts w:ascii="IberPangea Text" w:eastAsia="Times New Roman" w:hAnsi="IberPangea Text" w:cs="IberPangea Text"/>
          <w:color w:val="000000"/>
          <w:sz w:val="20"/>
          <w:szCs w:val="20"/>
          <w:lang w:eastAsia="es-ES"/>
        </w:rPr>
        <w:t>, facilitando el acceso y la realización de compras de mayor volumen.</w:t>
      </w:r>
    </w:p>
    <w:p w14:paraId="0E994F14"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Por su parte, el establecimiento de </w:t>
      </w:r>
      <w:r w:rsidRPr="007B2DDA">
        <w:rPr>
          <w:rFonts w:ascii="IberPangea Text" w:eastAsia="Times New Roman" w:hAnsi="IberPangea Text" w:cs="IberPangea Text"/>
          <w:b/>
          <w:bCs/>
          <w:color w:val="000000"/>
          <w:sz w:val="20"/>
          <w:szCs w:val="20"/>
          <w:lang w:eastAsia="es-ES"/>
        </w:rPr>
        <w:t>Arcos de la Frontera cuenta con 1.952 metros cuadrados</w:t>
      </w:r>
      <w:r w:rsidRPr="007B2DDA">
        <w:rPr>
          <w:rFonts w:ascii="IberPangea Text" w:eastAsia="Times New Roman" w:hAnsi="IberPangea Text" w:cs="IberPangea Text"/>
          <w:color w:val="000000"/>
          <w:sz w:val="20"/>
          <w:szCs w:val="20"/>
          <w:lang w:eastAsia="es-ES"/>
        </w:rPr>
        <w:t xml:space="preserve">, cinco cajas de atención al público y una plantilla integrada también por </w:t>
      </w:r>
      <w:r w:rsidRPr="007B2DDA">
        <w:rPr>
          <w:rFonts w:ascii="IberPangea Text" w:eastAsia="Times New Roman" w:hAnsi="IberPangea Text" w:cs="IberPangea Text"/>
          <w:b/>
          <w:bCs/>
          <w:color w:val="000000"/>
          <w:sz w:val="20"/>
          <w:szCs w:val="20"/>
          <w:lang w:eastAsia="es-ES"/>
        </w:rPr>
        <w:t>26 profesionales</w:t>
      </w:r>
      <w:r w:rsidRPr="007B2DDA">
        <w:rPr>
          <w:rFonts w:ascii="IberPangea Text" w:eastAsia="Times New Roman" w:hAnsi="IberPangea Text" w:cs="IberPangea Text"/>
          <w:color w:val="000000"/>
          <w:sz w:val="20"/>
          <w:szCs w:val="20"/>
          <w:lang w:eastAsia="es-ES"/>
        </w:rPr>
        <w:t xml:space="preserve">, entre los que se encuentran especialistas en las diferentes secciones de productos frescos. El centro dispone asimismo de aproximadamente </w:t>
      </w:r>
      <w:r w:rsidRPr="007B2DDA">
        <w:rPr>
          <w:rFonts w:ascii="IberPangea Text" w:eastAsia="Times New Roman" w:hAnsi="IberPangea Text" w:cs="IberPangea Text"/>
          <w:b/>
          <w:bCs/>
          <w:color w:val="000000"/>
          <w:sz w:val="20"/>
          <w:szCs w:val="20"/>
          <w:lang w:eastAsia="es-ES"/>
        </w:rPr>
        <w:t>55 plazas de aparcamiento para clientes</w:t>
      </w:r>
      <w:r w:rsidRPr="007B2DDA">
        <w:rPr>
          <w:rFonts w:ascii="IberPangea Text" w:eastAsia="Times New Roman" w:hAnsi="IberPangea Text" w:cs="IberPangea Text"/>
          <w:color w:val="000000"/>
          <w:sz w:val="20"/>
          <w:szCs w:val="20"/>
          <w:lang w:eastAsia="es-ES"/>
        </w:rPr>
        <w:t>.</w:t>
      </w:r>
    </w:p>
    <w:p w14:paraId="2A7B63F2"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En ambos supermercados, los clientes pueden encontrar una amplia variedad de primeras marcas y productos de marca propia, junto a diferentes secciones especializadas para completar la compra diaria.</w:t>
      </w:r>
    </w:p>
    <w:p w14:paraId="5AB60A4D"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Los nuevos establecimientos cuentan con </w:t>
      </w:r>
      <w:r w:rsidRPr="007B2DDA">
        <w:rPr>
          <w:rFonts w:ascii="IberPangea Text" w:eastAsia="Times New Roman" w:hAnsi="IberPangea Text" w:cs="IberPangea Text"/>
          <w:b/>
          <w:bCs/>
          <w:color w:val="000000"/>
          <w:sz w:val="20"/>
          <w:szCs w:val="20"/>
          <w:lang w:eastAsia="es-ES"/>
        </w:rPr>
        <w:t>carnicería y charcutería al corte, frutería, pescadería, marisco congelado a granel, horno de pan, bollería, bodega, máquina de zumo recién exprimido y horno de pollo</w:t>
      </w:r>
      <w:r w:rsidRPr="007B2DDA">
        <w:rPr>
          <w:rFonts w:ascii="IberPangea Text" w:eastAsia="Times New Roman" w:hAnsi="IberPangea Text" w:cs="IberPangea Text"/>
          <w:color w:val="000000"/>
          <w:sz w:val="20"/>
          <w:szCs w:val="20"/>
          <w:lang w:eastAsia="es-ES"/>
        </w:rPr>
        <w:t xml:space="preserve">, además de una amplia sección de </w:t>
      </w:r>
      <w:r w:rsidRPr="007B2DDA">
        <w:rPr>
          <w:rFonts w:ascii="IberPangea Text" w:eastAsia="Times New Roman" w:hAnsi="IberPangea Text" w:cs="IberPangea Text"/>
          <w:b/>
          <w:bCs/>
          <w:color w:val="000000"/>
          <w:sz w:val="20"/>
          <w:szCs w:val="20"/>
          <w:lang w:eastAsia="es-ES"/>
        </w:rPr>
        <w:t>bazar</w:t>
      </w:r>
      <w:r w:rsidRPr="007B2DDA">
        <w:rPr>
          <w:rFonts w:ascii="IberPangea Text" w:eastAsia="Times New Roman" w:hAnsi="IberPangea Text" w:cs="IberPangea Text"/>
          <w:color w:val="000000"/>
          <w:sz w:val="20"/>
          <w:szCs w:val="20"/>
          <w:lang w:eastAsia="es-ES"/>
        </w:rPr>
        <w:t>.</w:t>
      </w:r>
    </w:p>
    <w:p w14:paraId="14B603D4"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A ello se suma el servicio de comida preparada </w:t>
      </w:r>
      <w:r w:rsidRPr="007B2DDA">
        <w:rPr>
          <w:rFonts w:ascii="IberPangea Text" w:eastAsia="Times New Roman" w:hAnsi="IberPangea Text" w:cs="IberPangea Text"/>
          <w:b/>
          <w:bCs/>
          <w:color w:val="000000"/>
          <w:sz w:val="20"/>
          <w:szCs w:val="20"/>
          <w:lang w:eastAsia="es-ES"/>
        </w:rPr>
        <w:t>“Buen Provecho”</w:t>
      </w:r>
      <w:r w:rsidRPr="007B2DDA">
        <w:rPr>
          <w:rFonts w:ascii="IberPangea Text" w:eastAsia="Times New Roman" w:hAnsi="IberPangea Text" w:cs="IberPangea Text"/>
          <w:color w:val="000000"/>
          <w:sz w:val="20"/>
          <w:szCs w:val="20"/>
          <w:lang w:eastAsia="es-ES"/>
        </w:rPr>
        <w:t>, con diferentes platos listos para consumir destinados a aquellos clientes que buscan soluciones cómodas y variadas para su día a día. Los establecimientos disponen igualmente de contenedor para la recogida de aceite usado.</w:t>
      </w:r>
    </w:p>
    <w:p w14:paraId="1C72C03D" w14:textId="033FC3D4"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Uno de los aspectos más destacados de las nuevas tiendas de Santa Fe y Arcos de la Frontera es que ambas nacen ya con el </w:t>
      </w:r>
      <w:r w:rsidRPr="007B2DDA">
        <w:rPr>
          <w:rFonts w:ascii="IberPangea Text" w:eastAsia="Times New Roman" w:hAnsi="IberPangea Text" w:cs="IberPangea Text"/>
          <w:b/>
          <w:bCs/>
          <w:color w:val="000000"/>
          <w:sz w:val="20"/>
          <w:szCs w:val="20"/>
          <w:lang w:eastAsia="es-ES"/>
        </w:rPr>
        <w:t>100 % de sus etiquetas de precio en formato electrónico</w:t>
      </w:r>
      <w:r w:rsidRPr="007B2DDA">
        <w:rPr>
          <w:rFonts w:ascii="IberPangea Text" w:eastAsia="Times New Roman" w:hAnsi="IberPangea Text" w:cs="IberPangea Text"/>
          <w:color w:val="000000"/>
          <w:sz w:val="20"/>
          <w:szCs w:val="20"/>
          <w:lang w:eastAsia="es-ES"/>
        </w:rPr>
        <w:t>.</w:t>
      </w:r>
      <w:r>
        <w:rPr>
          <w:rFonts w:ascii="IberPangea Text" w:eastAsia="Times New Roman" w:hAnsi="IberPangea Text" w:cs="IberPangea Text"/>
          <w:color w:val="000000"/>
          <w:sz w:val="20"/>
          <w:szCs w:val="20"/>
          <w:lang w:eastAsia="es-ES"/>
        </w:rPr>
        <w:t xml:space="preserve"> </w:t>
      </w:r>
      <w:r w:rsidRPr="007B2DDA">
        <w:rPr>
          <w:rFonts w:ascii="IberPangea Text" w:eastAsia="Times New Roman" w:hAnsi="IberPangea Text" w:cs="IberPangea Text"/>
          <w:color w:val="000000"/>
          <w:sz w:val="20"/>
          <w:szCs w:val="20"/>
          <w:lang w:eastAsia="es-ES"/>
        </w:rPr>
        <w:t xml:space="preserve">De esta forma, los dos establecimientos se incorporan plenamente al proceso de transformación digital que Supermercados El Jamón está desarrollando en su red comercial, con la implantación de etiquetas electrónicas inteligentes junto a </w:t>
      </w:r>
      <w:proofErr w:type="spellStart"/>
      <w:r w:rsidRPr="007B2DDA">
        <w:rPr>
          <w:rFonts w:ascii="IberPangea Text" w:eastAsia="Times New Roman" w:hAnsi="IberPangea Text" w:cs="IberPangea Text"/>
          <w:b/>
          <w:bCs/>
          <w:color w:val="000000"/>
          <w:sz w:val="20"/>
          <w:szCs w:val="20"/>
          <w:lang w:eastAsia="es-ES"/>
        </w:rPr>
        <w:t>Hanshow</w:t>
      </w:r>
      <w:proofErr w:type="spellEnd"/>
      <w:r w:rsidRPr="007B2DDA">
        <w:rPr>
          <w:rFonts w:ascii="IberPangea Text" w:eastAsia="Times New Roman" w:hAnsi="IberPangea Text" w:cs="IberPangea Text"/>
          <w:color w:val="000000"/>
          <w:sz w:val="20"/>
          <w:szCs w:val="20"/>
          <w:lang w:eastAsia="es-ES"/>
        </w:rPr>
        <w:t>.</w:t>
      </w:r>
    </w:p>
    <w:p w14:paraId="79459A55"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lastRenderedPageBreak/>
        <w:t>Este sistema permite actualizar precios y promociones de manera sincronizada, reducir determinadas tareas manuales y minimizar posibles errores en la información mostrada en los lineales, contribuyendo al mismo tiempo a que los equipos puedan dedicar más tiempo a otras tareas vinculadas al servicio y la atención al cliente.</w:t>
      </w:r>
    </w:p>
    <w:p w14:paraId="7E3E953A"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La incorporación de esta tecnología desde el primer día convierte a Santa Fe y Arcos de la Frontera en dos ejemplos del nuevo modelo de supermercado hacia el que avanza la compañía: establecimientos que mantienen la cercanía, el producto fresco y la atención personalizada como elementos esenciales, incorporando al mismo tiempo herramientas destinadas a mejorar la eficiencia y modernizar la experiencia de compra.</w:t>
      </w:r>
    </w:p>
    <w:p w14:paraId="291A90E7"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Con estas dos aperturas, Supermercados El Jamón continúa reforzando su presencia tanto en </w:t>
      </w:r>
      <w:r w:rsidRPr="007B2DDA">
        <w:rPr>
          <w:rFonts w:ascii="IberPangea Text" w:eastAsia="Times New Roman" w:hAnsi="IberPangea Text" w:cs="IberPangea Text"/>
          <w:b/>
          <w:bCs/>
          <w:color w:val="000000"/>
          <w:sz w:val="20"/>
          <w:szCs w:val="20"/>
          <w:lang w:eastAsia="es-ES"/>
        </w:rPr>
        <w:t>Granada como en Cádiz</w:t>
      </w:r>
      <w:r w:rsidRPr="007B2DDA">
        <w:rPr>
          <w:rFonts w:ascii="IberPangea Text" w:eastAsia="Times New Roman" w:hAnsi="IberPangea Text" w:cs="IberPangea Text"/>
          <w:color w:val="000000"/>
          <w:sz w:val="20"/>
          <w:szCs w:val="20"/>
          <w:lang w:eastAsia="es-ES"/>
        </w:rPr>
        <w:t>, contribuyendo además a la generación de empleo y a la actividad económica de ambos municipios.</w:t>
      </w:r>
    </w:p>
    <w:p w14:paraId="7B35ACB4"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Los </w:t>
      </w:r>
      <w:r w:rsidRPr="007B2DDA">
        <w:rPr>
          <w:rFonts w:ascii="IberPangea Text" w:eastAsia="Times New Roman" w:hAnsi="IberPangea Text" w:cs="IberPangea Text"/>
          <w:b/>
          <w:bCs/>
          <w:color w:val="000000"/>
          <w:sz w:val="20"/>
          <w:szCs w:val="20"/>
          <w:lang w:eastAsia="es-ES"/>
        </w:rPr>
        <w:t>52 puestos de trabajo directos</w:t>
      </w:r>
      <w:r w:rsidRPr="007B2DDA">
        <w:rPr>
          <w:rFonts w:ascii="IberPangea Text" w:eastAsia="Times New Roman" w:hAnsi="IberPangea Text" w:cs="IberPangea Text"/>
          <w:color w:val="000000"/>
          <w:sz w:val="20"/>
          <w:szCs w:val="20"/>
          <w:lang w:eastAsia="es-ES"/>
        </w:rPr>
        <w:t xml:space="preserve"> asociados conjuntamente a los establecimientos de Santa Fe y Arcos de la Frontera reflejan la importancia que la expansión comercial de la compañía mantiene también como elemento generador de oportunidades laborales en los territorios donde desarrolla su actividad.</w:t>
      </w:r>
    </w:p>
    <w:p w14:paraId="552F7DD6"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Las nuevas aperturas coinciden, además, con una etapa especialmente relevante para Grupo Empresarial El Jamón tras la reciente adquisición de </w:t>
      </w:r>
      <w:r w:rsidRPr="007B2DDA">
        <w:rPr>
          <w:rFonts w:ascii="IberPangea Text" w:eastAsia="Times New Roman" w:hAnsi="IberPangea Text" w:cs="IberPangea Text"/>
          <w:b/>
          <w:bCs/>
          <w:color w:val="000000"/>
          <w:sz w:val="20"/>
          <w:szCs w:val="20"/>
          <w:lang w:eastAsia="es-ES"/>
        </w:rPr>
        <w:t>Supermercados Dani</w:t>
      </w:r>
      <w:r w:rsidRPr="007B2DDA">
        <w:rPr>
          <w:rFonts w:ascii="IberPangea Text" w:eastAsia="Times New Roman" w:hAnsi="IberPangea Text" w:cs="IberPangea Text"/>
          <w:color w:val="000000"/>
          <w:sz w:val="20"/>
          <w:szCs w:val="20"/>
          <w:lang w:eastAsia="es-ES"/>
        </w:rPr>
        <w:t xml:space="preserve">, operación que supone la incorporación de 19 establecimientos y permite a la compañía estar presente en las </w:t>
      </w:r>
      <w:r w:rsidRPr="007B2DDA">
        <w:rPr>
          <w:rFonts w:ascii="IberPangea Text" w:eastAsia="Times New Roman" w:hAnsi="IberPangea Text" w:cs="IberPangea Text"/>
          <w:b/>
          <w:bCs/>
          <w:color w:val="000000"/>
          <w:sz w:val="20"/>
          <w:szCs w:val="20"/>
          <w:lang w:eastAsia="es-ES"/>
        </w:rPr>
        <w:t>ocho provincias andaluzas</w:t>
      </w:r>
      <w:r w:rsidRPr="007B2DDA">
        <w:rPr>
          <w:rFonts w:ascii="IberPangea Text" w:eastAsia="Times New Roman" w:hAnsi="IberPangea Text" w:cs="IberPangea Text"/>
          <w:color w:val="000000"/>
          <w:sz w:val="20"/>
          <w:szCs w:val="20"/>
          <w:lang w:eastAsia="es-ES"/>
        </w:rPr>
        <w:t>.</w:t>
      </w:r>
    </w:p>
    <w:p w14:paraId="19FB4BBE"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El proceso de integración de estos supermercados comenzará próximamente de manera progresiva, reforzando especialmente la presencia de la compañía en Granada y haciendo posible su llegada a la provincia de Almería.</w:t>
      </w:r>
    </w:p>
    <w:p w14:paraId="5895790F" w14:textId="77777777" w:rsidR="007B2DDA" w:rsidRPr="007B2DDA" w:rsidRDefault="007B2DDA"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r w:rsidRPr="007B2DDA">
        <w:rPr>
          <w:rFonts w:ascii="IberPangea Text" w:eastAsia="Times New Roman" w:hAnsi="IberPangea Text" w:cs="IberPangea Text"/>
          <w:color w:val="000000"/>
          <w:sz w:val="20"/>
          <w:szCs w:val="20"/>
          <w:lang w:eastAsia="es-ES"/>
        </w:rPr>
        <w:t xml:space="preserve">Con Santa Fe y Arcos de la Frontera, </w:t>
      </w:r>
      <w:r w:rsidRPr="007B2DDA">
        <w:rPr>
          <w:rFonts w:ascii="IberPangea Text" w:eastAsia="Times New Roman" w:hAnsi="IberPangea Text" w:cs="IberPangea Text"/>
          <w:b/>
          <w:bCs/>
          <w:color w:val="000000"/>
          <w:sz w:val="20"/>
          <w:szCs w:val="20"/>
          <w:lang w:eastAsia="es-ES"/>
        </w:rPr>
        <w:t>Supermercados El Jamón alcanza los 389 establecimientos repartidos por Andalucía</w:t>
      </w:r>
      <w:r w:rsidRPr="007B2DDA">
        <w:rPr>
          <w:rFonts w:ascii="IberPangea Text" w:eastAsia="Times New Roman" w:hAnsi="IberPangea Text" w:cs="IberPangea Text"/>
          <w:color w:val="000000"/>
          <w:sz w:val="20"/>
          <w:szCs w:val="20"/>
          <w:lang w:eastAsia="es-ES"/>
        </w:rPr>
        <w:t>, consolidando una estrategia de crecimiento basada en la proximidad, el producto fresco, la atención al cliente, la generación de empleo y la modernización continua de su red comercial.</w:t>
      </w:r>
    </w:p>
    <w:p w14:paraId="2C39809C" w14:textId="795227C3" w:rsidR="006424F7" w:rsidRPr="009269F0" w:rsidRDefault="006424F7" w:rsidP="007B2DDA">
      <w:pPr>
        <w:spacing w:before="100" w:beforeAutospacing="1" w:afterAutospacing="1" w:line="259" w:lineRule="auto"/>
        <w:jc w:val="both"/>
        <w:textAlignment w:val="baseline"/>
        <w:rPr>
          <w:rFonts w:ascii="IberPangea Text" w:eastAsia="Times New Roman" w:hAnsi="IberPangea Text" w:cs="IberPangea Text"/>
          <w:color w:val="000000"/>
          <w:sz w:val="20"/>
          <w:szCs w:val="20"/>
          <w:lang w:eastAsia="es-ES"/>
        </w:rPr>
      </w:pPr>
    </w:p>
    <w:sectPr w:rsidR="006424F7" w:rsidRPr="009269F0" w:rsidSect="00EB2992">
      <w:headerReference w:type="default" r:id="rId7"/>
      <w:footerReference w:type="default" r:id="rId8"/>
      <w:headerReference w:type="first" r:id="rId9"/>
      <w:footerReference w:type="first" r:id="rId10"/>
      <w:pgSz w:w="11906" w:h="16838" w:code="9"/>
      <w:pgMar w:top="1814" w:right="1418" w:bottom="1814" w:left="1985" w:header="907" w:footer="90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FE7B2" w14:textId="77777777" w:rsidR="009E61C1" w:rsidRDefault="009E61C1">
      <w:pPr>
        <w:spacing w:after="0" w:line="240" w:lineRule="auto"/>
      </w:pPr>
      <w:r>
        <w:separator/>
      </w:r>
    </w:p>
  </w:endnote>
  <w:endnote w:type="continuationSeparator" w:id="0">
    <w:p w14:paraId="46F5C2A6" w14:textId="77777777" w:rsidR="009E61C1" w:rsidRDefault="009E61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berPangea Text Light">
    <w:altName w:val="Calibri"/>
    <w:charset w:val="00"/>
    <w:family w:val="swiss"/>
    <w:pitch w:val="variable"/>
    <w:sig w:usb0="A10002FF" w:usb1="5201E0FB" w:usb2="00000008" w:usb3="00000000" w:csb0="0000019F" w:csb1="00000000"/>
  </w:font>
  <w:font w:name="Times New Roman (Cuerpo en alfa">
    <w:altName w:val="Times New Roman"/>
    <w:charset w:val="00"/>
    <w:family w:val="roman"/>
    <w:pitch w:val="default"/>
  </w:font>
  <w:font w:name="IberPangea Text">
    <w:altName w:val="Calibri"/>
    <w:charset w:val="00"/>
    <w:family w:val="swiss"/>
    <w:pitch w:val="variable"/>
    <w:sig w:usb0="A10002FF" w:usb1="5201E0FB" w:usb2="00000008"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31F18D" w14:textId="77A224BE" w:rsidR="00F63527" w:rsidRPr="00670B57" w:rsidRDefault="002904D9" w:rsidP="005D0F2D">
    <w:pPr>
      <w:pStyle w:val="MFootnote"/>
      <w:ind w:right="-569"/>
      <w:rPr>
        <w:rFonts w:ascii="IberPangea Text" w:hAnsi="IberPangea Text" w:cs="IberPangea Text"/>
        <w:noProof/>
        <w:color w:val="3A3734"/>
        <w:lang w:val="en-US"/>
      </w:rPr>
    </w:pPr>
    <w:r>
      <w:rPr>
        <w:rFonts w:ascii="IberPangea Text" w:hAnsi="IberPangea Text" w:cs="IberPangea Text"/>
        <w:noProof/>
        <w:color w:val="3A3734"/>
        <w:lang w:val="en-US"/>
      </w:rPr>
      <mc:AlternateContent>
        <mc:Choice Requires="wps">
          <w:drawing>
            <wp:anchor distT="0" distB="0" distL="114300" distR="114300" simplePos="0" relativeHeight="251660800" behindDoc="0" locked="0" layoutInCell="0" allowOverlap="1" wp14:anchorId="22688FA0" wp14:editId="563BF1AC">
              <wp:simplePos x="0" y="0"/>
              <wp:positionH relativeFrom="page">
                <wp:posOffset>0</wp:posOffset>
              </wp:positionH>
              <wp:positionV relativeFrom="page">
                <wp:posOffset>10227945</wp:posOffset>
              </wp:positionV>
              <wp:extent cx="7560310" cy="273050"/>
              <wp:effectExtent l="0" t="0" r="0" b="12700"/>
              <wp:wrapNone/>
              <wp:docPr id="4" name="MSIPCM4d8444c3b3f74a38f3580b85" descr="{&quot;HashCode&quot;:123105668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4292D0F" w14:textId="176EF79F" w:rsidR="002904D9" w:rsidRPr="002904D9" w:rsidRDefault="002904D9" w:rsidP="002904D9">
                          <w:pPr>
                            <w:spacing w:after="0"/>
                            <w:jc w:val="center"/>
                            <w:rPr>
                              <w:rFonts w:ascii="Calibri" w:hAnsi="Calibri" w:cs="Calibri"/>
                              <w:color w:val="008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2688FA0" id="_x0000_t202" coordsize="21600,21600" o:spt="202" path="m,l,21600r21600,l21600,xe">
              <v:stroke joinstyle="miter"/>
              <v:path gradientshapeok="t" o:connecttype="rect"/>
            </v:shapetype>
            <v:shape id="MSIPCM4d8444c3b3f74a38f3580b85" o:spid="_x0000_s1026" type="#_x0000_t202" alt="{&quot;HashCode&quot;:1231056682,&quot;Height&quot;:841.0,&quot;Width&quot;:595.0,&quot;Placement&quot;:&quot;Footer&quot;,&quot;Index&quot;:&quot;Primary&quot;,&quot;Section&quot;:1,&quot;Top&quot;:0.0,&quot;Left&quot;:0.0}" style="position:absolute;margin-left:0;margin-top:805.35pt;width:595.3pt;height:21.5pt;z-index:25166080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IMrx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" o:allowincell="f" filled="f" stroked="f" strokeweight=".5pt">
              <v:textbox inset=",0,,0">
                <w:txbxContent>
                  <w:p w14:paraId="54292D0F" w14:textId="176EF79F" w:rsidR="002904D9" w:rsidRPr="002904D9" w:rsidRDefault="002904D9" w:rsidP="002904D9">
                    <w:pPr>
                      <w:spacing w:after="0"/>
                      <w:jc w:val="center"/>
                      <w:rPr>
                        <w:rFonts w:ascii="Calibri" w:hAnsi="Calibri" w:cs="Calibri"/>
                        <w:color w:val="008000"/>
                        <w:sz w:val="24"/>
                      </w:rPr>
                    </w:pP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CB1C6" w14:textId="7B9BFB44" w:rsidR="002904D9" w:rsidRDefault="002904D9">
    <w:pPr>
      <w:pStyle w:val="Piedepgina"/>
    </w:pPr>
    <w:r>
      <w:rPr>
        <w:noProof/>
      </w:rPr>
      <mc:AlternateContent>
        <mc:Choice Requires="wps">
          <w:drawing>
            <wp:anchor distT="0" distB="0" distL="114300" distR="114300" simplePos="0" relativeHeight="251661824" behindDoc="0" locked="0" layoutInCell="0" allowOverlap="1" wp14:anchorId="2A03575E" wp14:editId="6E644685">
              <wp:simplePos x="0" y="0"/>
              <wp:positionH relativeFrom="page">
                <wp:posOffset>0</wp:posOffset>
              </wp:positionH>
              <wp:positionV relativeFrom="page">
                <wp:posOffset>10227945</wp:posOffset>
              </wp:positionV>
              <wp:extent cx="7560310" cy="273050"/>
              <wp:effectExtent l="0" t="0" r="0" b="12700"/>
              <wp:wrapNone/>
              <wp:docPr id="5" name="MSIPCM381a4f93b1d1afbd2fa18e97" descr="{&quot;HashCode&quot;:123105668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DAE0DE8" w14:textId="0EAEE48F" w:rsidR="002904D9" w:rsidRPr="002904D9" w:rsidRDefault="002904D9" w:rsidP="002904D9">
                          <w:pPr>
                            <w:spacing w:after="0"/>
                            <w:jc w:val="center"/>
                            <w:rPr>
                              <w:rFonts w:ascii="Calibri" w:hAnsi="Calibri" w:cs="Calibri"/>
                              <w:color w:val="008000"/>
                              <w:sz w:val="24"/>
                            </w:rPr>
                          </w:pP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2A03575E" id="_x0000_t202" coordsize="21600,21600" o:spt="202" path="m,l,21600r21600,l21600,xe">
              <v:stroke joinstyle="miter"/>
              <v:path gradientshapeok="t" o:connecttype="rect"/>
            </v:shapetype>
            <v:shape id="MSIPCM381a4f93b1d1afbd2fa18e97" o:spid="_x0000_s1027" type="#_x0000_t202" alt="{&quot;HashCode&quot;:1231056682,&quot;Height&quot;:841.0,&quot;Width&quot;:595.0,&quot;Placement&quot;:&quot;Footer&quot;,&quot;Index&quot;:&quot;FirstPage&quot;,&quot;Section&quot;:1,&quot;Top&quot;:0.0,&quot;Left&quot;:0.0}" style="position:absolute;margin-left:0;margin-top:805.35pt;width:595.3pt;height:21.5pt;z-index:25166182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" o:allowincell="f" filled="f" stroked="f" strokeweight=".5pt">
              <v:textbox inset=",0,,0">
                <w:txbxContent>
                  <w:p w14:paraId="2DAE0DE8" w14:textId="0EAEE48F" w:rsidR="002904D9" w:rsidRPr="002904D9" w:rsidRDefault="002904D9" w:rsidP="002904D9">
                    <w:pPr>
                      <w:spacing w:after="0"/>
                      <w:jc w:val="center"/>
                      <w:rPr>
                        <w:rFonts w:ascii="Calibri" w:hAnsi="Calibri" w:cs="Calibri"/>
                        <w:color w:val="008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3B91ED" w14:textId="77777777" w:rsidR="009E61C1" w:rsidRDefault="009E61C1">
      <w:pPr>
        <w:spacing w:after="0" w:line="240" w:lineRule="auto"/>
      </w:pPr>
      <w:r>
        <w:separator/>
      </w:r>
    </w:p>
  </w:footnote>
  <w:footnote w:type="continuationSeparator" w:id="0">
    <w:p w14:paraId="44B10C6E" w14:textId="77777777" w:rsidR="009E61C1" w:rsidRDefault="009E61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05204B" w14:textId="009B4D99" w:rsidR="00A23D7E" w:rsidRDefault="00AC4EAD" w:rsidP="00A23D7E">
    <w:pPr>
      <w:pStyle w:val="Encabezado"/>
      <w:ind w:left="4252" w:hanging="4252"/>
      <w:rPr>
        <w:rFonts w:cs="IberPangea Text"/>
      </w:rPr>
    </w:pPr>
    <w:r>
      <w:rPr>
        <w:rFonts w:cs="IberPangea Text"/>
        <w:noProof/>
      </w:rPr>
      <w:drawing>
        <wp:anchor distT="0" distB="0" distL="114300" distR="114300" simplePos="0" relativeHeight="251668992" behindDoc="1" locked="0" layoutInCell="1" allowOverlap="1" wp14:anchorId="7FED53CE" wp14:editId="4E85830A">
          <wp:simplePos x="0" y="0"/>
          <wp:positionH relativeFrom="margin">
            <wp:posOffset>3652719</wp:posOffset>
          </wp:positionH>
          <wp:positionV relativeFrom="paragraph">
            <wp:posOffset>-521354</wp:posOffset>
          </wp:positionV>
          <wp:extent cx="1815759" cy="1361130"/>
          <wp:effectExtent l="0" t="0" r="0" b="0"/>
          <wp:wrapNone/>
          <wp:docPr id="111934245"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24048" name="Imagen 1375524048"/>
                  <pic:cNvPicPr/>
                </pic:nvPicPr>
                <pic:blipFill>
                  <a:blip r:embed="rId1">
                    <a:extLst>
                      <a:ext uri="{28A0092B-C50C-407E-A947-70E740481C1C}">
                        <a14:useLocalDpi xmlns:a14="http://schemas.microsoft.com/office/drawing/2010/main" val="0"/>
                      </a:ext>
                    </a:extLst>
                  </a:blip>
                  <a:stretch>
                    <a:fillRect/>
                  </a:stretch>
                </pic:blipFill>
                <pic:spPr>
                  <a:xfrm>
                    <a:off x="0" y="0"/>
                    <a:ext cx="1815759" cy="1361130"/>
                  </a:xfrm>
                  <a:prstGeom prst="rect">
                    <a:avLst/>
                  </a:prstGeom>
                </pic:spPr>
              </pic:pic>
            </a:graphicData>
          </a:graphic>
          <wp14:sizeRelH relativeFrom="margin">
            <wp14:pctWidth>0</wp14:pctWidth>
          </wp14:sizeRelH>
          <wp14:sizeRelV relativeFrom="margin">
            <wp14:pctHeight>0</wp14:pctHeight>
          </wp14:sizeRelV>
        </wp:anchor>
      </w:drawing>
    </w:r>
    <w:r w:rsidR="00A23D7E" w:rsidRPr="00140DAF">
      <w:rPr>
        <w:rFonts w:cs="IberPangea Text"/>
      </w:rPr>
      <w:t>Nota de prensa</w:t>
    </w:r>
  </w:p>
  <w:p w14:paraId="3C84772D" w14:textId="40627883" w:rsidR="00F63527" w:rsidRPr="00000BBC" w:rsidRDefault="00EB2992" w:rsidP="00000BBC">
    <w:pPr>
      <w:pStyle w:val="Encabezado"/>
      <w:ind w:left="4252" w:hanging="4252"/>
      <w:rPr>
        <w:rFonts w:cs="IberPangea Text"/>
      </w:rPr>
    </w:pPr>
    <w:r>
      <w:rPr>
        <w:rFonts w:cs="IberPangea Text"/>
      </w:rPr>
      <w:t>2</w:t>
    </w:r>
    <w:r w:rsidR="00000BBC">
      <w:rPr>
        <w:rFonts w:cs="IberPangea Text"/>
      </w:rPr>
      <w:t>5</w:t>
    </w:r>
    <w:r w:rsidR="00A23D7E" w:rsidRPr="00140DAF">
      <w:rPr>
        <w:rFonts w:cs="IberPangea Text"/>
      </w:rPr>
      <w:t xml:space="preserve"> de </w:t>
    </w:r>
    <w:r w:rsidR="00000BBC">
      <w:rPr>
        <w:rFonts w:cs="IberPangea Text"/>
      </w:rPr>
      <w:t>septiembre</w:t>
    </w:r>
    <w:r w:rsidR="00A23D7E" w:rsidRPr="00140DAF">
      <w:rPr>
        <w:rFonts w:cs="IberPangea Text"/>
      </w:rPr>
      <w:t xml:space="preserve"> de 20</w:t>
    </w:r>
    <w:r w:rsidR="001B04C8">
      <w:rPr>
        <w:rFonts w:cs="IberPangea Text"/>
      </w:rPr>
      <w:t>26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F4DB3" w14:textId="3659A4F3" w:rsidR="00F63527" w:rsidRPr="002507EE" w:rsidRDefault="00AC4EAD" w:rsidP="00E70500">
    <w:pPr>
      <w:pStyle w:val="DBodytext"/>
      <w:rPr>
        <w:rFonts w:cs="IberPangea Text"/>
      </w:rPr>
    </w:pPr>
    <w:r>
      <w:rPr>
        <w:rFonts w:cs="IberPangea Text"/>
        <w:noProof/>
      </w:rPr>
      <w:drawing>
        <wp:anchor distT="0" distB="0" distL="114300" distR="114300" simplePos="0" relativeHeight="251666944" behindDoc="1" locked="0" layoutInCell="1" allowOverlap="1" wp14:anchorId="117D4971" wp14:editId="4949986A">
          <wp:simplePos x="0" y="0"/>
          <wp:positionH relativeFrom="margin">
            <wp:posOffset>3625424</wp:posOffset>
          </wp:positionH>
          <wp:positionV relativeFrom="paragraph">
            <wp:posOffset>-494058</wp:posOffset>
          </wp:positionV>
          <wp:extent cx="1815759" cy="1361130"/>
          <wp:effectExtent l="0" t="0" r="0" b="0"/>
          <wp:wrapNone/>
          <wp:docPr id="1375524048"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5524048" name="Imagen 1375524048"/>
                  <pic:cNvPicPr/>
                </pic:nvPicPr>
                <pic:blipFill>
                  <a:blip r:embed="rId1">
                    <a:extLst>
                      <a:ext uri="{28A0092B-C50C-407E-A947-70E740481C1C}">
                        <a14:useLocalDpi xmlns:a14="http://schemas.microsoft.com/office/drawing/2010/main" val="0"/>
                      </a:ext>
                    </a:extLst>
                  </a:blip>
                  <a:stretch>
                    <a:fillRect/>
                  </a:stretch>
                </pic:blipFill>
                <pic:spPr>
                  <a:xfrm>
                    <a:off x="0" y="0"/>
                    <a:ext cx="1815759" cy="1361130"/>
                  </a:xfrm>
                  <a:prstGeom prst="rect">
                    <a:avLst/>
                  </a:prstGeom>
                </pic:spPr>
              </pic:pic>
            </a:graphicData>
          </a:graphic>
          <wp14:sizeRelH relativeFrom="margin">
            <wp14:pctWidth>0</wp14:pctWidth>
          </wp14:sizeRelH>
          <wp14:sizeRelV relativeFrom="margin">
            <wp14:pctHeight>0</wp14:pctHeight>
          </wp14:sizeRelV>
        </wp:anchor>
      </w:drawing>
    </w:r>
    <w:r w:rsidR="00140DAF" w:rsidRPr="00140DAF">
      <w:rPr>
        <w:rFonts w:cs="IberPangea Text"/>
      </w:rPr>
      <w:t>Nota de prensa</w:t>
    </w:r>
    <w:r w:rsidR="00140DAF" w:rsidRPr="00140DAF">
      <w:rPr>
        <w:rFonts w:cs="IberPangea Text"/>
      </w:rPr>
      <w:br/>
    </w:r>
    <w:r w:rsidR="002507EE">
      <w:rPr>
        <w:rFonts w:cs="IberPangea Text"/>
      </w:rPr>
      <w:t>09</w:t>
    </w:r>
    <w:r w:rsidR="00140DAF" w:rsidRPr="00140DAF">
      <w:rPr>
        <w:rFonts w:cs="IberPangea Text"/>
      </w:rPr>
      <w:t xml:space="preserve"> de </w:t>
    </w:r>
    <w:r w:rsidR="002507EE">
      <w:rPr>
        <w:rFonts w:cs="IberPangea Text"/>
      </w:rPr>
      <w:t>ju</w:t>
    </w:r>
    <w:r w:rsidR="00EB2992">
      <w:rPr>
        <w:rFonts w:cs="IberPangea Text"/>
      </w:rPr>
      <w:t>l</w:t>
    </w:r>
    <w:r w:rsidR="002507EE">
      <w:rPr>
        <w:rFonts w:cs="IberPangea Text"/>
      </w:rPr>
      <w:t>io</w:t>
    </w:r>
    <w:r w:rsidR="00140DAF" w:rsidRPr="00140DAF">
      <w:rPr>
        <w:rFonts w:cs="IberPangea Text"/>
      </w:rPr>
      <w:t xml:space="preserve"> de 202</w:t>
    </w:r>
    <w:r w:rsidR="00C6117A">
      <w:rPr>
        <w:rFonts w:cs="IberPangea Text"/>
      </w:rPr>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3696078"/>
    <w:multiLevelType w:val="hybridMultilevel"/>
    <w:tmpl w:val="5CCA0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50336A37"/>
    <w:multiLevelType w:val="multilevel"/>
    <w:tmpl w:val="27BCA9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392965529">
    <w:abstractNumId w:val="0"/>
  </w:num>
  <w:num w:numId="2" w16cid:durableId="19414537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0DAF"/>
    <w:rsid w:val="00000BBC"/>
    <w:rsid w:val="000170C1"/>
    <w:rsid w:val="000270E4"/>
    <w:rsid w:val="000B16E6"/>
    <w:rsid w:val="000E33B7"/>
    <w:rsid w:val="00140DAF"/>
    <w:rsid w:val="00183713"/>
    <w:rsid w:val="001B04C8"/>
    <w:rsid w:val="00236ACE"/>
    <w:rsid w:val="002507EE"/>
    <w:rsid w:val="002904D9"/>
    <w:rsid w:val="002A309B"/>
    <w:rsid w:val="0030277D"/>
    <w:rsid w:val="003741CD"/>
    <w:rsid w:val="00376BE5"/>
    <w:rsid w:val="004135AC"/>
    <w:rsid w:val="0041739D"/>
    <w:rsid w:val="00430934"/>
    <w:rsid w:val="00486498"/>
    <w:rsid w:val="00490991"/>
    <w:rsid w:val="00494DB2"/>
    <w:rsid w:val="004F5A56"/>
    <w:rsid w:val="00546692"/>
    <w:rsid w:val="00557D64"/>
    <w:rsid w:val="00565957"/>
    <w:rsid w:val="00594E5F"/>
    <w:rsid w:val="005F6077"/>
    <w:rsid w:val="006424F7"/>
    <w:rsid w:val="00721557"/>
    <w:rsid w:val="0075068C"/>
    <w:rsid w:val="00790281"/>
    <w:rsid w:val="007963AD"/>
    <w:rsid w:val="007B2686"/>
    <w:rsid w:val="007B2DDA"/>
    <w:rsid w:val="007C1794"/>
    <w:rsid w:val="007C2938"/>
    <w:rsid w:val="008568DD"/>
    <w:rsid w:val="0085741A"/>
    <w:rsid w:val="00894B06"/>
    <w:rsid w:val="00921CCC"/>
    <w:rsid w:val="009269F0"/>
    <w:rsid w:val="00943A77"/>
    <w:rsid w:val="00990262"/>
    <w:rsid w:val="009E61C1"/>
    <w:rsid w:val="00A21DB7"/>
    <w:rsid w:val="00A23D7E"/>
    <w:rsid w:val="00A53AF5"/>
    <w:rsid w:val="00A72551"/>
    <w:rsid w:val="00AB5A60"/>
    <w:rsid w:val="00AC14E1"/>
    <w:rsid w:val="00AC4EAD"/>
    <w:rsid w:val="00BF7C3B"/>
    <w:rsid w:val="00C368F2"/>
    <w:rsid w:val="00C6117A"/>
    <w:rsid w:val="00C662AB"/>
    <w:rsid w:val="00CA6B7B"/>
    <w:rsid w:val="00CE4D47"/>
    <w:rsid w:val="00D56535"/>
    <w:rsid w:val="00D61941"/>
    <w:rsid w:val="00E81E44"/>
    <w:rsid w:val="00EA69EA"/>
    <w:rsid w:val="00EB2992"/>
    <w:rsid w:val="00ED3049"/>
    <w:rsid w:val="00F13BA3"/>
    <w:rsid w:val="00F63527"/>
    <w:rsid w:val="00F977CC"/>
    <w:rsid w:val="00FB48E1"/>
  </w:rsids>
  <m:mathPr>
    <m:mathFont m:val="Cambria Math"/>
    <m:brkBin m:val="before"/>
    <m:brkBinSub m:val="--"/>
    <m:smallFrac m:val="0"/>
    <m:dispDef/>
    <m:lMargin m:val="0"/>
    <m:rMargin m:val="0"/>
    <m:defJc m:val="centerGroup"/>
    <m:wrapIndent m:val="1440"/>
    <m:intLim m:val="subSup"/>
    <m:naryLim m:val="undOvr"/>
  </m:mathPr>
  <w:themeFontLang w:val="es-E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4D74DA"/>
  <w15:chartTrackingRefBased/>
  <w15:docId w15:val="{DF8438C6-D7E8-4AEF-8922-310C35DCC0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068C"/>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40DAF"/>
    <w:pPr>
      <w:tabs>
        <w:tab w:val="center" w:pos="4252"/>
        <w:tab w:val="right" w:pos="8504"/>
      </w:tabs>
      <w:spacing w:after="0" w:line="240" w:lineRule="auto"/>
    </w:pPr>
    <w:rPr>
      <w:rFonts w:ascii="IberPangea Text Light" w:hAnsi="IberPangea Text Light" w:cs="Times New Roman (Cuerpo en alfa"/>
      <w:szCs w:val="32"/>
    </w:rPr>
  </w:style>
  <w:style w:type="character" w:customStyle="1" w:styleId="EncabezadoCar">
    <w:name w:val="Encabezado Car"/>
    <w:basedOn w:val="Fuentedeprrafopredeter"/>
    <w:link w:val="Encabezado"/>
    <w:uiPriority w:val="99"/>
    <w:rsid w:val="00140DAF"/>
    <w:rPr>
      <w:rFonts w:ascii="IberPangea Text Light" w:hAnsi="IberPangea Text Light" w:cs="Times New Roman (Cuerpo en alfa"/>
      <w:szCs w:val="32"/>
    </w:rPr>
  </w:style>
  <w:style w:type="paragraph" w:customStyle="1" w:styleId="DBodytext">
    <w:name w:val="D.Body text"/>
    <w:basedOn w:val="NormalWeb"/>
    <w:link w:val="DBodytextChar"/>
    <w:qFormat/>
    <w:rsid w:val="00140DAF"/>
    <w:pPr>
      <w:spacing w:before="120" w:after="120"/>
    </w:pPr>
    <w:rPr>
      <w:rFonts w:ascii="IberPangea Text Light" w:eastAsia="Times New Roman" w:hAnsi="IberPangea Text Light"/>
      <w:color w:val="000000"/>
      <w:sz w:val="20"/>
      <w:szCs w:val="22"/>
      <w:lang w:eastAsia="es-ES"/>
    </w:rPr>
  </w:style>
  <w:style w:type="character" w:customStyle="1" w:styleId="DBodytextChar">
    <w:name w:val="D.Body text Char"/>
    <w:basedOn w:val="Fuentedeprrafopredeter"/>
    <w:link w:val="DBodytext"/>
    <w:rsid w:val="00140DAF"/>
    <w:rPr>
      <w:rFonts w:ascii="IberPangea Text Light" w:eastAsia="Times New Roman" w:hAnsi="IberPangea Text Light" w:cs="Times New Roman"/>
      <w:color w:val="000000"/>
      <w:sz w:val="20"/>
      <w:lang w:eastAsia="es-ES"/>
    </w:rPr>
  </w:style>
  <w:style w:type="paragraph" w:customStyle="1" w:styleId="MFootnote">
    <w:name w:val="M.Footnote"/>
    <w:basedOn w:val="Normal"/>
    <w:link w:val="MFootnoteChar"/>
    <w:qFormat/>
    <w:rsid w:val="00140DAF"/>
    <w:pPr>
      <w:autoSpaceDE w:val="0"/>
      <w:autoSpaceDN w:val="0"/>
      <w:adjustRightInd w:val="0"/>
      <w:spacing w:after="0" w:line="240" w:lineRule="auto"/>
    </w:pPr>
    <w:rPr>
      <w:rFonts w:ascii="IberPangea Text Light" w:hAnsi="IberPangea Text Light" w:cs="Times New Roman"/>
      <w:iCs/>
      <w:color w:val="00402A"/>
      <w:sz w:val="16"/>
      <w:szCs w:val="14"/>
    </w:rPr>
  </w:style>
  <w:style w:type="character" w:customStyle="1" w:styleId="MFootnoteChar">
    <w:name w:val="M.Footnote Char"/>
    <w:basedOn w:val="Fuentedeprrafopredeter"/>
    <w:link w:val="MFootnote"/>
    <w:rsid w:val="00140DAF"/>
    <w:rPr>
      <w:rFonts w:ascii="IberPangea Text Light" w:hAnsi="IberPangea Text Light" w:cs="Times New Roman"/>
      <w:iCs/>
      <w:color w:val="00402A"/>
      <w:sz w:val="16"/>
      <w:szCs w:val="14"/>
    </w:rPr>
  </w:style>
  <w:style w:type="paragraph" w:styleId="NormalWeb">
    <w:name w:val="Normal (Web)"/>
    <w:basedOn w:val="Normal"/>
    <w:uiPriority w:val="99"/>
    <w:semiHidden/>
    <w:unhideWhenUsed/>
    <w:rsid w:val="00140DAF"/>
    <w:rPr>
      <w:rFonts w:ascii="Times New Roman" w:hAnsi="Times New Roman" w:cs="Times New Roman"/>
      <w:sz w:val="24"/>
      <w:szCs w:val="24"/>
    </w:rPr>
  </w:style>
  <w:style w:type="paragraph" w:styleId="Piedepgina">
    <w:name w:val="footer"/>
    <w:basedOn w:val="Normal"/>
    <w:link w:val="PiedepginaCar"/>
    <w:uiPriority w:val="99"/>
    <w:unhideWhenUsed/>
    <w:rsid w:val="002904D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2904D9"/>
  </w:style>
  <w:style w:type="character" w:styleId="Fuerte">
    <w:name w:val="Strong"/>
    <w:basedOn w:val="Fuentedeprrafopredeter"/>
    <w:uiPriority w:val="22"/>
    <w:qFormat/>
    <w:rsid w:val="00EA69EA"/>
    <w:rPr>
      <w:b/>
      <w:bCs/>
    </w:rPr>
  </w:style>
  <w:style w:type="character" w:styleId="nfasis">
    <w:name w:val="Emphasis"/>
    <w:basedOn w:val="Fuentedeprrafopredeter"/>
    <w:uiPriority w:val="20"/>
    <w:qFormat/>
    <w:rsid w:val="00EA69EA"/>
    <w:rPr>
      <w:i/>
      <w:iCs/>
    </w:rPr>
  </w:style>
  <w:style w:type="character" w:customStyle="1" w:styleId="apple-converted-space">
    <w:name w:val="apple-converted-space"/>
    <w:basedOn w:val="Fuentedeprrafopredeter"/>
    <w:rsid w:val="00EA69EA"/>
  </w:style>
  <w:style w:type="character" w:styleId="Hipervnculo">
    <w:name w:val="Hyperlink"/>
    <w:basedOn w:val="Fuentedeprrafopredeter"/>
    <w:uiPriority w:val="99"/>
    <w:semiHidden/>
    <w:unhideWhenUsed/>
    <w:rsid w:val="006424F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019c027e-33b7-45fc-a572-8ffa5d09ec36}" enabled="1" method="Standard" siteId="{031a09bc-a2bf-44df-888e-4e09355b7a24}" contentBits="2" removed="0"/>
</clbl:labelList>
</file>

<file path=docProps/app.xml><?xml version="1.0" encoding="utf-8"?>
<Properties xmlns="http://schemas.openxmlformats.org/officeDocument/2006/extended-properties" xmlns:vt="http://schemas.openxmlformats.org/officeDocument/2006/docPropsVTypes">
  <Template>Normal</Template>
  <TotalTime>6</TotalTime>
  <Pages>2</Pages>
  <Words>748</Words>
  <Characters>4120</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IBERDROLA S.A.</Company>
  <LinksUpToDate>false</LinksUpToDate>
  <CharactersWithSpaces>4859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 Boyer, Juan Jose</dc:creator>
  <cp:keywords/>
  <dc:description/>
  <cp:lastModifiedBy>Cristóbal Ráez Carballar</cp:lastModifiedBy>
  <cp:revision>2</cp:revision>
  <dcterms:created xsi:type="dcterms:W3CDTF">2026-09-25T09:05:00Z</dcterms:created>
  <dcterms:modified xsi:type="dcterms:W3CDTF">2026-09-25T09:05:00Z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19c027e-33b7-45fc-a572-8ffa5d09ec36_Enabled">
    <vt:lpwstr>true</vt:lpwstr>
  </property>
  <property fmtid="{D5CDD505-2E9C-101B-9397-08002B2CF9AE}" pid="3" name="MSIP_Label_019c027e-33b7-45fc-a572-8ffa5d09ec36_SetDate">
    <vt:lpwstr>2023-05-24T09:51:24Z</vt:lpwstr>
  </property>
  <property fmtid="{D5CDD505-2E9C-101B-9397-08002B2CF9AE}" pid="4" name="MSIP_Label_019c027e-33b7-45fc-a572-8ffa5d09ec36_Method">
    <vt:lpwstr>Standard</vt:lpwstr>
  </property>
  <property fmtid="{D5CDD505-2E9C-101B-9397-08002B2CF9AE}" pid="5" name="MSIP_Label_019c027e-33b7-45fc-a572-8ffa5d09ec36_Name">
    <vt:lpwstr>Internal Use</vt:lpwstr>
  </property>
  <property fmtid="{D5CDD505-2E9C-101B-9397-08002B2CF9AE}" pid="6" name="MSIP_Label_019c027e-33b7-45fc-a572-8ffa5d09ec36_SiteId">
    <vt:lpwstr>031a09bc-a2bf-44df-888e-4e09355b7a24</vt:lpwstr>
  </property>
  <property fmtid="{D5CDD505-2E9C-101B-9397-08002B2CF9AE}" pid="7" name="MSIP_Label_019c027e-33b7-45fc-a572-8ffa5d09ec36_ActionId">
    <vt:lpwstr>51a1f0cc-0b25-4f9e-8cbe-8b834eb26251</vt:lpwstr>
  </property>
  <property fmtid="{D5CDD505-2E9C-101B-9397-08002B2CF9AE}" pid="8" name="MSIP_Label_019c027e-33b7-45fc-a572-8ffa5d09ec36_ContentBits">
    <vt:lpwstr>2</vt:lpwstr>
  </property>
  <property fmtid="{D5CDD505-2E9C-101B-9397-08002B2CF9AE}" pid="9" name="_NewReviewCycle">
    <vt:lpwstr/>
  </property>
</Properties>
</file>