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5F2A" w:rsidP="00045F2A" w:rsidRDefault="00045F2A" w14:paraId="496E2A5E" w14:textId="471E9B43">
      <w:pPr>
        <w:jc w:val="center"/>
        <w:rPr>
          <w:b/>
          <w:bCs/>
          <w:sz w:val="44"/>
          <w:szCs w:val="44"/>
        </w:rPr>
      </w:pPr>
      <w:r w:rsidRPr="008A24D6">
        <w:rPr>
          <w:b/>
          <w:bCs/>
          <w:sz w:val="44"/>
          <w:szCs w:val="44"/>
        </w:rPr>
        <w:t xml:space="preserve">Un </w:t>
      </w:r>
      <w:proofErr w:type="spellStart"/>
      <w:r w:rsidRPr="008A24D6">
        <w:rPr>
          <w:b/>
          <w:bCs/>
          <w:sz w:val="44"/>
          <w:szCs w:val="44"/>
        </w:rPr>
        <w:t>mix</w:t>
      </w:r>
      <w:proofErr w:type="spellEnd"/>
      <w:r w:rsidRPr="008A24D6">
        <w:rPr>
          <w:b/>
          <w:bCs/>
          <w:sz w:val="44"/>
          <w:szCs w:val="44"/>
        </w:rPr>
        <w:t xml:space="preserve"> vegetal que monta hasta cuatro veces su volumen: la propuesta de GA Alimentaria para la campaña del roscón de Reyes</w:t>
      </w:r>
    </w:p>
    <w:p w:rsidR="2B97CAC5" w:rsidP="6525B3B7" w:rsidRDefault="006C7942" w14:paraId="6FEC963E" w14:textId="3C509A68">
      <w:pPr>
        <w:pStyle w:val="Prrafodelista"/>
        <w:numPr>
          <w:ilvl w:val="0"/>
          <w:numId w:val="1"/>
        </w:numPr>
        <w:rPr>
          <w:i/>
          <w:iCs/>
        </w:rPr>
      </w:pPr>
      <w:r w:rsidRPr="006C7942">
        <w:rPr>
          <w:i/>
          <w:iCs/>
        </w:rPr>
        <w:t xml:space="preserve">El </w:t>
      </w:r>
      <w:proofErr w:type="spellStart"/>
      <w:r w:rsidRPr="006C7942">
        <w:rPr>
          <w:i/>
          <w:iCs/>
        </w:rPr>
        <w:t>mix</w:t>
      </w:r>
      <w:proofErr w:type="spellEnd"/>
      <w:r w:rsidRPr="006C7942">
        <w:rPr>
          <w:i/>
          <w:iCs/>
        </w:rPr>
        <w:t xml:space="preserve"> vegetal azucarado 26,5 % de la gama </w:t>
      </w:r>
      <w:proofErr w:type="spellStart"/>
      <w:r w:rsidRPr="006C7942">
        <w:rPr>
          <w:i/>
          <w:iCs/>
        </w:rPr>
        <w:t>Luxmar</w:t>
      </w:r>
      <w:proofErr w:type="spellEnd"/>
      <w:r w:rsidRPr="006C7942">
        <w:rPr>
          <w:i/>
          <w:iCs/>
        </w:rPr>
        <w:t xml:space="preserve"> está dirigido a obradores e industriales y puede utilizarse como alternativa a la nata</w:t>
      </w:r>
    </w:p>
    <w:p w:rsidR="16075376" w:rsidP="16075376" w:rsidRDefault="16075376" w14:paraId="37C2E231" w14:textId="57DF93C3">
      <w:pPr>
        <w:pStyle w:val="Prrafodelista"/>
        <w:rPr>
          <w:i/>
          <w:iCs/>
        </w:rPr>
      </w:pPr>
    </w:p>
    <w:p w:rsidR="2B97CAC5" w:rsidP="6525B3B7" w:rsidRDefault="00800D8C" w14:paraId="09B74016" w14:textId="10A46AAC">
      <w:pPr>
        <w:pStyle w:val="Prrafodelista"/>
        <w:numPr>
          <w:ilvl w:val="0"/>
          <w:numId w:val="1"/>
        </w:numPr>
        <w:rPr>
          <w:i/>
          <w:iCs/>
        </w:rPr>
      </w:pPr>
      <w:r w:rsidRPr="00800D8C">
        <w:rPr>
          <w:i/>
          <w:iCs/>
        </w:rPr>
        <w:t>Entre sus características destaca su rendimiento, ya que durante el montado puede aumentar hasta cuatro veces su volumen</w:t>
      </w:r>
    </w:p>
    <w:p w:rsidR="692B4F91" w:rsidP="692B4F91" w:rsidRDefault="692B4F91" w14:paraId="5BBCB021" w14:textId="09EDC37D">
      <w:pPr>
        <w:pStyle w:val="Prrafodelista"/>
        <w:rPr>
          <w:i/>
          <w:iCs/>
        </w:rPr>
      </w:pPr>
    </w:p>
    <w:p w:rsidR="2B97CAC5" w:rsidP="6525B3B7" w:rsidRDefault="00800D8C" w14:paraId="33904087" w14:textId="3D1EF277">
      <w:pPr>
        <w:pStyle w:val="Prrafodelista"/>
        <w:numPr>
          <w:ilvl w:val="0"/>
          <w:numId w:val="1"/>
        </w:numPr>
        <w:rPr>
          <w:i/>
          <w:iCs/>
        </w:rPr>
      </w:pPr>
      <w:r w:rsidRPr="00800D8C">
        <w:rPr>
          <w:i/>
          <w:iCs/>
        </w:rPr>
        <w:t>Una vez montado, el producto resiste la congelación y también puede utilizarse para ayudar a estabilizar la nata láctea</w:t>
      </w:r>
    </w:p>
    <w:p w:rsidR="006C7942" w:rsidP="41682C4B" w:rsidRDefault="00663068" w14:paraId="3F5B48AD" w14:textId="08F08528">
      <w:pPr>
        <w:pStyle w:val="Normal"/>
        <w:suppressLineNumbers w:val="0"/>
        <w:bidi w:val="0"/>
        <w:spacing w:before="0" w:beforeAutospacing="off" w:after="160" w:afterAutospacing="off" w:line="259" w:lineRule="auto"/>
        <w:ind w:left="0" w:right="0"/>
        <w:jc w:val="both"/>
      </w:pPr>
      <w:r>
        <w:br/>
      </w:r>
      <w:r w:rsidRPr="41682C4B" w:rsidR="0622FFAE">
        <w:rPr>
          <w:b w:val="1"/>
          <w:bCs w:val="1"/>
        </w:rPr>
        <w:t xml:space="preserve">Valencia, </w:t>
      </w:r>
      <w:r w:rsidRPr="41682C4B" w:rsidR="4FD82483">
        <w:rPr>
          <w:b w:val="1"/>
          <w:bCs w:val="1"/>
        </w:rPr>
        <w:t xml:space="preserve">14 </w:t>
      </w:r>
      <w:r w:rsidRPr="41682C4B" w:rsidR="0622FFAE">
        <w:rPr>
          <w:b w:val="1"/>
          <w:bCs w:val="1"/>
        </w:rPr>
        <w:t xml:space="preserve">de </w:t>
      </w:r>
      <w:r w:rsidRPr="41682C4B" w:rsidR="3FAE68AA">
        <w:rPr>
          <w:b w:val="1"/>
          <w:bCs w:val="1"/>
        </w:rPr>
        <w:t>septiembre</w:t>
      </w:r>
      <w:r w:rsidRPr="41682C4B" w:rsidR="3D5E4757">
        <w:rPr>
          <w:b w:val="1"/>
          <w:bCs w:val="1"/>
        </w:rPr>
        <w:t xml:space="preserve"> </w:t>
      </w:r>
      <w:r w:rsidRPr="41682C4B" w:rsidR="0622FFAE">
        <w:rPr>
          <w:b w:val="1"/>
          <w:bCs w:val="1"/>
        </w:rPr>
        <w:t>de 2026</w:t>
      </w:r>
      <w:r w:rsidR="0622FFAE">
        <w:rPr/>
        <w:t>.-</w:t>
      </w:r>
      <w:r w:rsidR="0622FFAE">
        <w:rPr/>
        <w:t xml:space="preserve"> </w:t>
      </w:r>
      <w:r w:rsidR="26662B0D">
        <w:rPr/>
        <w:t xml:space="preserve">El grupo valenciano </w:t>
      </w:r>
      <w:r w:rsidRPr="41682C4B" w:rsidR="26662B0D">
        <w:rPr>
          <w:b w:val="1"/>
          <w:bCs w:val="1"/>
        </w:rPr>
        <w:t xml:space="preserve">GA Alimentaria </w:t>
      </w:r>
      <w:r w:rsidR="26662B0D">
        <w:rPr/>
        <w:t xml:space="preserve">encara la preparación de la campaña del roscón de Reyes poniendo el foco en su </w:t>
      </w:r>
      <w:r w:rsidR="26662B0D">
        <w:rPr/>
        <w:t>mix</w:t>
      </w:r>
      <w:r w:rsidR="26662B0D">
        <w:rPr/>
        <w:t xml:space="preserve"> vegetal azucarado 26,5 % de la gama </w:t>
      </w:r>
      <w:r w:rsidR="26662B0D">
        <w:rPr/>
        <w:t>Luxmar</w:t>
      </w:r>
      <w:r w:rsidR="26662B0D">
        <w:rPr/>
        <w:t xml:space="preserve">, disponible en formato Bag in Box (BIB) de 10 litros para obradores e industriales. La compañía vincula este formato con una campaña en la que el </w:t>
      </w:r>
      <w:r w:rsidR="26662B0D">
        <w:rPr/>
        <w:t>mix</w:t>
      </w:r>
      <w:r w:rsidR="26662B0D">
        <w:rPr/>
        <w:t xml:space="preserve"> vegetal tiene aplicación en el relleno de nata del roscón de Reyes. El Bag in Box de 10 litros se suma al formato brik de 1 litro con el que ya cuenta la gama </w:t>
      </w:r>
      <w:r w:rsidR="26662B0D">
        <w:rPr/>
        <w:t>Luxmar</w:t>
      </w:r>
      <w:r w:rsidR="26662B0D">
        <w:rPr/>
        <w:t>.</w:t>
      </w:r>
    </w:p>
    <w:p w:rsidR="006C7942" w:rsidP="006C7942" w:rsidRDefault="006C7942" w14:paraId="14916652" w14:textId="65F09E7E">
      <w:pPr>
        <w:jc w:val="both"/>
      </w:pPr>
      <w:r>
        <w:t xml:space="preserve">El </w:t>
      </w:r>
      <w:proofErr w:type="spellStart"/>
      <w:r w:rsidRPr="006C7942">
        <w:rPr>
          <w:b/>
          <w:bCs/>
        </w:rPr>
        <w:t>mix</w:t>
      </w:r>
      <w:proofErr w:type="spellEnd"/>
      <w:r w:rsidRPr="006C7942">
        <w:rPr>
          <w:b/>
          <w:bCs/>
        </w:rPr>
        <w:t xml:space="preserve"> vegetal azucarado 26,5 %</w:t>
      </w:r>
      <w:r>
        <w:t xml:space="preserve"> está destinado a aplicaciones de montado y postres y se presenta como una alternativa a la nata. Entre sus principales características destaca su rendimiento durante el montado, proceso en el que puede aumentar hasta cuatro veces su volumen.</w:t>
      </w:r>
    </w:p>
    <w:p w:rsidRPr="000A510A" w:rsidR="000A510A" w:rsidP="006C7942" w:rsidRDefault="000A510A" w14:paraId="5D387F42" w14:textId="54784368">
      <w:pPr>
        <w:jc w:val="both"/>
      </w:pPr>
      <w:r w:rsidRPr="000A510A">
        <w:t xml:space="preserve">Con la campaña del roscón de Reyes, GA Alimentaria pone el foco en una solución dirigida a obradores e industriales que trabajan con este tipo de elaboraciones. El formato Bag in Box de 10 litros permite disponer del </w:t>
      </w:r>
      <w:proofErr w:type="spellStart"/>
      <w:r w:rsidRPr="000A510A">
        <w:t>mix</w:t>
      </w:r>
      <w:proofErr w:type="spellEnd"/>
      <w:r w:rsidRPr="000A510A">
        <w:t xml:space="preserve"> vegetal en un formato adaptado a estos profesionales.</w:t>
      </w:r>
    </w:p>
    <w:p w:rsidRPr="006C7942" w:rsidR="006C7942" w:rsidP="006C7942" w:rsidRDefault="006C7942" w14:paraId="4C33CB02" w14:textId="52344E3A">
      <w:pPr>
        <w:jc w:val="both"/>
        <w:rPr>
          <w:b/>
          <w:bCs/>
        </w:rPr>
      </w:pPr>
      <w:r w:rsidRPr="006C7942">
        <w:rPr>
          <w:b/>
          <w:bCs/>
        </w:rPr>
        <w:t>Rendimiento y estabilidad para rellenos, coberturas y decoraciones</w:t>
      </w:r>
    </w:p>
    <w:p w:rsidR="006C7942" w:rsidP="006C7942" w:rsidRDefault="006C7942" w14:paraId="6733D313" w14:textId="06BA4DE5">
      <w:pPr>
        <w:jc w:val="both"/>
      </w:pPr>
      <w:r>
        <w:t>Además de aumentar hasta cuatro veces su volumen, el mix vegetal azucarado 26,5 % presenta estabilidad y firmeza durante el batido y, una vez montado, resiste la congelación.</w:t>
      </w:r>
      <w:r w:rsidR="2742B455">
        <w:t xml:space="preserve"> </w:t>
      </w:r>
      <w:r>
        <w:t>El producto también ayuda a estabilizar la nata láctea.</w:t>
      </w:r>
    </w:p>
    <w:p w:rsidR="006C7942" w:rsidP="006C7942" w:rsidRDefault="006C7942" w14:paraId="7BFA1D1B" w14:textId="56D8450D">
      <w:pPr>
        <w:jc w:val="both"/>
      </w:pPr>
      <w:r>
        <w:t>Su utilización permite obtener diferentes texturas en función del montado. Así, puede alcanzar una textura cremosa destinada a rellenos, una textura media para coberturas o una textura más compacta para decoraciones.</w:t>
      </w:r>
    </w:p>
    <w:p w:rsidR="006C7942" w:rsidP="006C7942" w:rsidRDefault="006C7942" w14:paraId="18E4B072" w14:textId="2F76495D">
      <w:pPr>
        <w:jc w:val="both"/>
      </w:pPr>
      <w:r>
        <w:lastRenderedPageBreak/>
        <w:t>El producto incorpora azúcar en su formulación y presenta aroma y sabor con sutiles notas avainilladas. Puede utilizarse de forma independiente o combinado con otros ingredientes como nata, siropes, colorantes</w:t>
      </w:r>
      <w:r w:rsidR="00045F2A">
        <w:t xml:space="preserve"> </w:t>
      </w:r>
      <w:r>
        <w:t>o chocolates.</w:t>
      </w:r>
    </w:p>
    <w:p w:rsidR="006C7942" w:rsidP="006C7942" w:rsidRDefault="006C7942" w14:paraId="120F35ED" w14:textId="4BE384C6">
      <w:pPr>
        <w:jc w:val="both"/>
      </w:pPr>
      <w:r>
        <w:t>Para su utilización, se recomienda enfriar previamente el producto entre 4 y 8 grados. Además, cuenta con tratamiento UHT y debe almacenarse a temperatura controlada entre 10 y 20 grados.</w:t>
      </w:r>
    </w:p>
    <w:p w:rsidRPr="000A510A" w:rsidR="000A510A" w:rsidP="3B750FBF" w:rsidRDefault="000A510A" w14:paraId="28F0F4AD" w14:textId="77777777">
      <w:pPr>
        <w:jc w:val="both"/>
      </w:pPr>
      <w:r w:rsidRPr="000A510A">
        <w:t>El rendimiento es una de las principales características del producto, ya que puede aumentar hasta cuatro veces su volumen durante el montado. Además, resiste la congelación una vez montado y puede ayudar a estabilizar la nata láctea.</w:t>
      </w:r>
    </w:p>
    <w:p w:rsidR="7AAAE3D4" w:rsidP="3B750FBF" w:rsidRDefault="7AAAE3D4" w14:paraId="55BE03DC" w14:textId="4824056D">
      <w:pPr>
        <w:jc w:val="both"/>
      </w:pPr>
      <w:r>
        <w:t xml:space="preserve">Asimismo, dentro de la familia de mixes vegetales de Luxmar se encuentran también </w:t>
      </w:r>
      <w:r w:rsidRPr="3B750FBF">
        <w:rPr>
          <w:b/>
          <w:bCs/>
        </w:rPr>
        <w:t>Luxmar Culinary</w:t>
      </w:r>
      <w:r>
        <w:t>, con un 14 % de materia grasa;</w:t>
      </w:r>
      <w:r w:rsidRPr="3B750FBF">
        <w:rPr>
          <w:b/>
          <w:bCs/>
        </w:rPr>
        <w:t xml:space="preserve"> Luxmar Culinary Gold</w:t>
      </w:r>
      <w:r>
        <w:t xml:space="preserve">, con un 23 %; </w:t>
      </w:r>
      <w:r w:rsidRPr="3B750FBF">
        <w:rPr>
          <w:b/>
          <w:bCs/>
        </w:rPr>
        <w:t>Luxmar Whipping Duo</w:t>
      </w:r>
      <w:r>
        <w:t>, para montar y cocinar, con un 26,5 %; y</w:t>
      </w:r>
      <w:r w:rsidRPr="3B750FBF">
        <w:rPr>
          <w:b/>
          <w:bCs/>
        </w:rPr>
        <w:t xml:space="preserve"> Luxmar Whipping Sugar</w:t>
      </w:r>
      <w:r>
        <w:t>, para montar y postres, con un 26,5 % de materia grasa.</w:t>
      </w:r>
    </w:p>
    <w:p w:rsidRPr="006C7942" w:rsidR="006C7942" w:rsidP="006C7942" w:rsidRDefault="006C7942" w14:paraId="5052AD29" w14:textId="5F90AA56">
      <w:pPr>
        <w:jc w:val="both"/>
        <w:rPr>
          <w:b/>
          <w:bCs/>
        </w:rPr>
      </w:pPr>
      <w:proofErr w:type="spellStart"/>
      <w:r w:rsidRPr="006C7942">
        <w:rPr>
          <w:b/>
          <w:bCs/>
        </w:rPr>
        <w:t>Crystal</w:t>
      </w:r>
      <w:proofErr w:type="spellEnd"/>
      <w:r w:rsidRPr="006C7942">
        <w:rPr>
          <w:b/>
          <w:bCs/>
        </w:rPr>
        <w:t xml:space="preserve"> Glaze, una alternativa al huevo en formatos de 1 y 10 litros</w:t>
      </w:r>
    </w:p>
    <w:p w:rsidR="006C7942" w:rsidP="006C7942" w:rsidRDefault="006C7942" w14:paraId="70FE721D" w14:textId="3312493E">
      <w:pPr>
        <w:jc w:val="both"/>
      </w:pPr>
      <w:r>
        <w:t xml:space="preserve">Junto al </w:t>
      </w:r>
      <w:proofErr w:type="spellStart"/>
      <w:r>
        <w:t>mix</w:t>
      </w:r>
      <w:proofErr w:type="spellEnd"/>
      <w:r>
        <w:t xml:space="preserve"> vegetal, GA Alimentaria cuenta dentro de su gama </w:t>
      </w:r>
      <w:proofErr w:type="spellStart"/>
      <w:r>
        <w:t>Luxmar</w:t>
      </w:r>
      <w:proofErr w:type="spellEnd"/>
      <w:r>
        <w:t xml:space="preserve"> con </w:t>
      </w:r>
      <w:proofErr w:type="spellStart"/>
      <w:r w:rsidRPr="006C7942">
        <w:rPr>
          <w:b/>
          <w:bCs/>
        </w:rPr>
        <w:t>Crystal</w:t>
      </w:r>
      <w:proofErr w:type="spellEnd"/>
      <w:r w:rsidRPr="006C7942">
        <w:rPr>
          <w:b/>
          <w:bCs/>
        </w:rPr>
        <w:t xml:space="preserve"> Glaze</w:t>
      </w:r>
      <w:r>
        <w:t>, una alternativa al huevo disponible en formato brik de 1 litro y Bag in Box de 10 litros.</w:t>
      </w:r>
    </w:p>
    <w:p w:rsidR="006C7942" w:rsidP="006C7942" w:rsidRDefault="006C7942" w14:paraId="1F69ED2C" w14:textId="41DDEE7F">
      <w:pPr>
        <w:jc w:val="both"/>
      </w:pPr>
      <w:r>
        <w:t xml:space="preserve">El producto proporciona un acabado de brillo intenso y dorado y puede aplicarse mediante brocha o </w:t>
      </w:r>
      <w:proofErr w:type="gramStart"/>
      <w:r>
        <w:t>spray</w:t>
      </w:r>
      <w:proofErr w:type="gramEnd"/>
      <w:r>
        <w:t xml:space="preserve">. Asimismo, </w:t>
      </w:r>
      <w:proofErr w:type="spellStart"/>
      <w:r>
        <w:t>Crystal</w:t>
      </w:r>
      <w:proofErr w:type="spellEnd"/>
      <w:r>
        <w:t xml:space="preserve"> Glaze no contiene alérgenos y es 100 % vegano.</w:t>
      </w:r>
    </w:p>
    <w:p w:rsidR="006C7942" w:rsidP="006C7942" w:rsidRDefault="006C7942" w14:paraId="002A4BC0" w14:textId="3EE35A76">
      <w:pPr>
        <w:jc w:val="both"/>
      </w:pPr>
      <w:r>
        <w:t>Está diseñado para aportar un acabado brillante, liso y uniforme a diferentes elaboraciones de bollería y panadería. Entre sus aplicaciones se encuentran cruasanes, empanadas y panes de brioche o de hamburguesa.</w:t>
      </w:r>
    </w:p>
    <w:p w:rsidR="006C7942" w:rsidP="006C7942" w:rsidRDefault="006C7942" w14:paraId="70071082" w14:textId="77777777">
      <w:pPr>
        <w:jc w:val="both"/>
      </w:pPr>
      <w:r>
        <w:t>Con ambas referencias, GA Alimentaria cuenta con soluciones en formato Bag in Box de 10 litros destinadas a diferentes aplicaciones dentro de la producción de pastelería, bollería y panadería.</w:t>
      </w:r>
    </w:p>
    <w:p w:rsidRPr="000A510A" w:rsidR="08011C53" w:rsidP="006C7942" w:rsidRDefault="08011C53" w14:paraId="395F27B0" w14:textId="5A114B21">
      <w:pPr>
        <w:jc w:val="both"/>
      </w:pPr>
      <w:r w:rsidRPr="000A510A">
        <w:rPr>
          <w:rFonts w:ascii="Arial" w:hAnsi="Arial" w:eastAsia="Arial" w:cs="Arial"/>
          <w:b/>
          <w:bCs/>
          <w:i/>
          <w:iCs/>
          <w:color w:val="1F3864"/>
          <w:sz w:val="18"/>
          <w:szCs w:val="18"/>
        </w:rPr>
        <w:t>Sobre GA ALIMENTARIA</w:t>
      </w:r>
    </w:p>
    <w:p w:rsidR="08011C53" w:rsidP="0979BA0E" w:rsidRDefault="08011C53" w14:paraId="35659C55" w14:textId="096DE594">
      <w:pPr>
        <w:shd w:val="clear" w:color="auto" w:fill="F2F2F2" w:themeFill="background1" w:themeFillShade="F2"/>
        <w:spacing w:before="120" w:after="120" w:line="360" w:lineRule="auto"/>
        <w:jc w:val="both"/>
      </w:pPr>
      <w:r w:rsidRPr="0979BA0E">
        <w:rPr>
          <w:rFonts w:ascii="Arial" w:hAnsi="Arial" w:eastAsia="Arial" w:cs="Arial"/>
          <w:i/>
          <w:iCs/>
          <w:color w:val="000000" w:themeColor="text1"/>
          <w:sz w:val="18"/>
          <w:szCs w:val="18"/>
        </w:rPr>
        <w:t>GA ALIMENTARIA es un grupo perteneciente al holding empresarial Nuova Sesac, 100% español con origen en Valencia, que compite con grandes actores del mercado internacional con productos alimentarios de gran consumo como son las margarinas, aceites vegetales, grasas especiales para la alimentación, caldos caseros, natas vegetales</w:t>
      </w:r>
      <w:r w:rsidR="004E35AE">
        <w:rPr>
          <w:rFonts w:ascii="Arial" w:hAnsi="Arial" w:eastAsia="Arial" w:cs="Arial"/>
          <w:i/>
          <w:iCs/>
          <w:color w:val="000000" w:themeColor="text1"/>
          <w:sz w:val="18"/>
          <w:szCs w:val="18"/>
        </w:rPr>
        <w:t xml:space="preserve"> </w:t>
      </w:r>
      <w:r w:rsidRPr="0979BA0E">
        <w:rPr>
          <w:rFonts w:ascii="Arial" w:hAnsi="Arial" w:eastAsia="Arial" w:cs="Arial"/>
          <w:i/>
          <w:iCs/>
          <w:color w:val="000000" w:themeColor="text1"/>
          <w:sz w:val="18"/>
          <w:szCs w:val="18"/>
        </w:rPr>
        <w:t>y salsas.</w:t>
      </w:r>
      <w:r w:rsidR="00864CDD">
        <w:rPr>
          <w:rFonts w:ascii="Arial" w:hAnsi="Arial" w:eastAsia="Arial" w:cs="Arial"/>
          <w:i/>
          <w:iCs/>
          <w:color w:val="000000" w:themeColor="text1"/>
          <w:sz w:val="18"/>
          <w:szCs w:val="18"/>
        </w:rPr>
        <w:t xml:space="preserve"> El grupo está formado por:</w:t>
      </w:r>
    </w:p>
    <w:p w:rsidR="00864CDD" w:rsidP="0979BA0E" w:rsidRDefault="08011C53" w14:paraId="4E21B02C" w14:textId="0F1C912C">
      <w:pPr>
        <w:shd w:val="clear" w:color="auto" w:fill="F2F2F2" w:themeFill="background1" w:themeFillShade="F2"/>
        <w:spacing w:before="120" w:after="120" w:line="360" w:lineRule="auto"/>
        <w:jc w:val="both"/>
        <w:rPr>
          <w:rFonts w:ascii="Arial" w:hAnsi="Arial" w:eastAsia="Arial" w:cs="Arial"/>
          <w:i/>
          <w:iCs/>
          <w:color w:val="000000" w:themeColor="text1"/>
          <w:sz w:val="18"/>
          <w:szCs w:val="18"/>
        </w:rPr>
      </w:pPr>
      <w:hyperlink r:id="rId10">
        <w:r w:rsidRPr="0979BA0E">
          <w:rPr>
            <w:rStyle w:val="Hipervnculo"/>
            <w:rFonts w:ascii="Arial" w:hAnsi="Arial" w:eastAsia="Arial" w:cs="Arial"/>
            <w:i/>
            <w:iCs/>
            <w:color w:val="0563C1"/>
            <w:sz w:val="18"/>
            <w:szCs w:val="18"/>
          </w:rPr>
          <w:t>GRACOMSA</w:t>
        </w:r>
      </w:hyperlink>
      <w:r w:rsidRPr="0979BA0E">
        <w:rPr>
          <w:rFonts w:ascii="Arial" w:hAnsi="Arial" w:eastAsia="Arial" w:cs="Arial"/>
          <w:i/>
          <w:iCs/>
          <w:color w:val="000000" w:themeColor="text1"/>
          <w:sz w:val="18"/>
          <w:szCs w:val="18"/>
        </w:rPr>
        <w:t xml:space="preserve"> </w:t>
      </w:r>
      <w:r w:rsidR="00864CDD">
        <w:rPr>
          <w:rFonts w:ascii="Arial" w:hAnsi="Arial" w:eastAsia="Arial" w:cs="Arial"/>
          <w:i/>
          <w:iCs/>
          <w:color w:val="000000" w:themeColor="text1"/>
          <w:sz w:val="18"/>
          <w:szCs w:val="18"/>
        </w:rPr>
        <w:t xml:space="preserve">empresa </w:t>
      </w:r>
      <w:r w:rsidRPr="00864CDD" w:rsidR="00864CDD">
        <w:rPr>
          <w:rFonts w:ascii="Arial" w:hAnsi="Arial" w:eastAsia="Arial" w:cs="Arial"/>
          <w:i/>
          <w:iCs/>
          <w:color w:val="000000" w:themeColor="text1"/>
          <w:sz w:val="18"/>
          <w:szCs w:val="18"/>
        </w:rPr>
        <w:t>dedicada a la elaboración de margarinas, aceites y grasas especiales para la industria alimentaria</w:t>
      </w:r>
    </w:p>
    <w:p w:rsidR="08011C53" w:rsidP="0979BA0E" w:rsidRDefault="08011C53" w14:paraId="25751DEF" w14:textId="49E415B5">
      <w:pPr>
        <w:shd w:val="clear" w:color="auto" w:fill="F2F2F2" w:themeFill="background1" w:themeFillShade="F2"/>
        <w:spacing w:before="120" w:after="120" w:line="360" w:lineRule="auto"/>
        <w:jc w:val="both"/>
      </w:pPr>
      <w:hyperlink r:id="rId11">
        <w:r w:rsidRPr="0979BA0E">
          <w:rPr>
            <w:rStyle w:val="Hipervnculo"/>
            <w:rFonts w:ascii="Arial" w:hAnsi="Arial" w:eastAsia="Arial" w:cs="Arial"/>
            <w:i/>
            <w:iCs/>
            <w:color w:val="0563C1"/>
            <w:sz w:val="18"/>
            <w:szCs w:val="18"/>
          </w:rPr>
          <w:t>DOCCAS FOOD</w:t>
        </w:r>
      </w:hyperlink>
      <w:r w:rsidRPr="0979BA0E">
        <w:rPr>
          <w:rFonts w:ascii="Arial" w:hAnsi="Arial" w:eastAsia="Arial" w:cs="Arial"/>
          <w:i/>
          <w:iCs/>
          <w:color w:val="000000" w:themeColor="text1"/>
          <w:sz w:val="18"/>
          <w:szCs w:val="18"/>
        </w:rPr>
        <w:t xml:space="preserve">, compañía que fabrica margarinas y untables para el canal retail. Se trata de una fábrica inteligente capaz de una mayor adaptabilidad a los procesos de fabricación y una asignación más eficaz de los recursos. </w:t>
      </w:r>
    </w:p>
    <w:p w:rsidR="00864CDD" w:rsidP="0979BA0E" w:rsidRDefault="08011C53" w14:paraId="1F944B18" w14:textId="77777777">
      <w:pPr>
        <w:shd w:val="clear" w:color="auto" w:fill="F2F2F2" w:themeFill="background1" w:themeFillShade="F2"/>
        <w:spacing w:before="120" w:after="120" w:line="360" w:lineRule="auto"/>
        <w:jc w:val="both"/>
        <w:rPr>
          <w:rFonts w:ascii="Arial" w:hAnsi="Arial" w:eastAsia="Arial" w:cs="Arial"/>
          <w:i/>
          <w:iCs/>
          <w:color w:val="000000" w:themeColor="text1"/>
          <w:sz w:val="18"/>
          <w:szCs w:val="18"/>
        </w:rPr>
      </w:pPr>
      <w:r w:rsidRPr="0979BA0E">
        <w:rPr>
          <w:rFonts w:ascii="Arial" w:hAnsi="Arial" w:eastAsia="Arial" w:cs="Arial"/>
          <w:i/>
          <w:iCs/>
          <w:color w:val="0563C1"/>
          <w:sz w:val="18"/>
          <w:szCs w:val="18"/>
          <w:u w:val="single"/>
        </w:rPr>
        <w:t>ANKER FOOD</w:t>
      </w:r>
      <w:r w:rsidRPr="0979BA0E">
        <w:rPr>
          <w:rFonts w:ascii="Arial" w:hAnsi="Arial" w:eastAsia="Arial" w:cs="Arial"/>
          <w:i/>
          <w:iCs/>
          <w:color w:val="000000" w:themeColor="text1"/>
          <w:sz w:val="18"/>
          <w:szCs w:val="18"/>
        </w:rPr>
        <w:t>, para la fabricación de caldos caseros</w:t>
      </w:r>
      <w:r w:rsidR="004E35AE">
        <w:rPr>
          <w:rFonts w:ascii="Arial" w:hAnsi="Arial" w:eastAsia="Arial" w:cs="Arial"/>
          <w:i/>
          <w:iCs/>
          <w:color w:val="000000" w:themeColor="text1"/>
          <w:sz w:val="18"/>
          <w:szCs w:val="18"/>
        </w:rPr>
        <w:t xml:space="preserve"> y</w:t>
      </w:r>
      <w:r w:rsidRPr="0979BA0E">
        <w:rPr>
          <w:rFonts w:ascii="Arial" w:hAnsi="Arial" w:eastAsia="Arial" w:cs="Arial"/>
          <w:i/>
          <w:iCs/>
          <w:color w:val="000000" w:themeColor="text1"/>
          <w:sz w:val="18"/>
          <w:szCs w:val="18"/>
        </w:rPr>
        <w:t xml:space="preserve"> </w:t>
      </w:r>
      <w:r w:rsidR="004E35AE">
        <w:rPr>
          <w:rFonts w:ascii="Arial" w:hAnsi="Arial" w:eastAsia="Arial" w:cs="Arial"/>
          <w:i/>
          <w:iCs/>
          <w:color w:val="000000" w:themeColor="text1"/>
          <w:sz w:val="18"/>
          <w:szCs w:val="18"/>
        </w:rPr>
        <w:t xml:space="preserve">mixes </w:t>
      </w:r>
      <w:r w:rsidRPr="0979BA0E">
        <w:rPr>
          <w:rFonts w:ascii="Arial" w:hAnsi="Arial" w:eastAsia="Arial" w:cs="Arial"/>
          <w:i/>
          <w:iCs/>
          <w:color w:val="000000" w:themeColor="text1"/>
          <w:sz w:val="18"/>
          <w:szCs w:val="18"/>
        </w:rPr>
        <w:t xml:space="preserve">vegetales </w:t>
      </w:r>
    </w:p>
    <w:p w:rsidR="5D05F5C1" w:rsidP="0979BA0E" w:rsidRDefault="08011C53" w14:paraId="191B2F1A" w14:textId="2CE67146">
      <w:pPr>
        <w:shd w:val="clear" w:color="auto" w:fill="F2F2F2" w:themeFill="background1" w:themeFillShade="F2"/>
        <w:spacing w:before="120" w:after="120" w:line="360" w:lineRule="auto"/>
        <w:jc w:val="both"/>
        <w:rPr>
          <w:rFonts w:ascii="Arial" w:hAnsi="Arial" w:eastAsia="Arial" w:cs="Arial"/>
          <w:i/>
          <w:iCs/>
          <w:color w:val="000000" w:themeColor="text1"/>
          <w:sz w:val="18"/>
          <w:szCs w:val="18"/>
        </w:rPr>
      </w:pPr>
      <w:r w:rsidRPr="0979BA0E">
        <w:rPr>
          <w:rFonts w:ascii="Arial" w:hAnsi="Arial" w:eastAsia="Arial" w:cs="Arial"/>
          <w:i/>
          <w:iCs/>
          <w:color w:val="0563C1"/>
          <w:sz w:val="18"/>
          <w:szCs w:val="18"/>
          <w:u w:val="single"/>
        </w:rPr>
        <w:t>ONES MAY SABORES,</w:t>
      </w:r>
      <w:r w:rsidRPr="0979BA0E">
        <w:rPr>
          <w:rFonts w:ascii="Arial" w:hAnsi="Arial" w:eastAsia="Arial" w:cs="Arial"/>
          <w:i/>
          <w:iCs/>
          <w:color w:val="000000" w:themeColor="text1"/>
          <w:sz w:val="18"/>
          <w:szCs w:val="18"/>
        </w:rPr>
        <w:t xml:space="preserve"> una nueva división de salsas condimentarias.</w:t>
      </w:r>
    </w:p>
    <w:p w:rsidR="0979BA0E" w:rsidP="0979BA0E" w:rsidRDefault="0979BA0E" w14:paraId="3C2F6BAB" w14:textId="0D220E4C">
      <w:pPr>
        <w:shd w:val="clear" w:color="auto" w:fill="F2F2F2" w:themeFill="background1" w:themeFillShade="F2"/>
        <w:spacing w:before="120" w:after="120" w:line="360" w:lineRule="auto"/>
        <w:jc w:val="both"/>
        <w:rPr>
          <w:rFonts w:ascii="Arial" w:hAnsi="Arial" w:eastAsia="Arial" w:cs="Arial"/>
          <w:i/>
          <w:iCs/>
          <w:sz w:val="18"/>
          <w:szCs w:val="18"/>
        </w:rPr>
      </w:pPr>
    </w:p>
    <w:p w:rsidR="0979BA0E" w:rsidRDefault="0979BA0E" w14:paraId="29E5C2EE" w14:textId="2964A66E"/>
    <w:p w:rsidRPr="00663068" w:rsidR="00663068" w:rsidRDefault="00663068" w14:paraId="09AC97D8" w14:textId="0091644F">
      <w:pPr>
        <w:rPr>
          <w:b/>
          <w:bCs/>
        </w:rPr>
      </w:pPr>
      <w:r w:rsidRPr="00663068">
        <w:rPr>
          <w:b/>
          <w:bCs/>
        </w:rPr>
        <w:t xml:space="preserve">Media Contact: </w:t>
      </w:r>
    </w:p>
    <w:p w:rsidR="00663068" w:rsidRDefault="00663068" w14:paraId="52B2A515" w14:textId="1A7F116E">
      <w:r>
        <w:t xml:space="preserve">María del Mar Benlloch: </w:t>
      </w:r>
      <w:hyperlink w:history="1" r:id="rId12">
        <w:r w:rsidRPr="00D631F3">
          <w:rPr>
            <w:rStyle w:val="Hipervnculo"/>
          </w:rPr>
          <w:t>mmar@aletreo.com</w:t>
        </w:r>
      </w:hyperlink>
      <w:r>
        <w:t xml:space="preserve"> TLF: 676 399 780</w:t>
      </w:r>
    </w:p>
    <w:p w:rsidR="007A4A56" w:rsidRDefault="007A4A56" w14:paraId="4061F1B5" w14:textId="105E7ED2">
      <w:r>
        <w:t xml:space="preserve">Antonio Monsalve: </w:t>
      </w:r>
      <w:hyperlink r:id="rId13">
        <w:r w:rsidRPr="0BB2574C">
          <w:rPr>
            <w:rStyle w:val="Hipervnculo"/>
          </w:rPr>
          <w:t>antonio@aletreo.com</w:t>
        </w:r>
      </w:hyperlink>
      <w:r>
        <w:t xml:space="preserve"> TLF: 656 266 846</w:t>
      </w:r>
    </w:p>
    <w:sectPr w:rsidR="007A4A56" w:rsidSect="007A4A56">
      <w:headerReference w:type="default" r:id="rId14"/>
      <w:footerReference w:type="default" r:id="rId15"/>
      <w:pgSz w:w="11906" w:h="16838" w:orient="portrait"/>
      <w:pgMar w:top="281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7045" w:rsidP="00663068" w:rsidRDefault="00FE7045" w14:paraId="25A31F7F" w14:textId="77777777">
      <w:pPr>
        <w:spacing w:after="0" w:line="240" w:lineRule="auto"/>
      </w:pPr>
      <w:r>
        <w:separator/>
      </w:r>
    </w:p>
  </w:endnote>
  <w:endnote w:type="continuationSeparator" w:id="0">
    <w:p w:rsidR="00FE7045" w:rsidP="00663068" w:rsidRDefault="00FE7045" w14:paraId="4D17DD0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0BB2574C" w:rsidTr="0BB2574C" w14:paraId="19366AA2" w14:textId="77777777">
      <w:trPr>
        <w:trHeight w:val="300"/>
      </w:trPr>
      <w:tc>
        <w:tcPr>
          <w:tcW w:w="2830" w:type="dxa"/>
        </w:tcPr>
        <w:p w:rsidR="0BB2574C" w:rsidP="0BB2574C" w:rsidRDefault="0BB2574C" w14:paraId="5C3F833B" w14:textId="12F527CE">
          <w:pPr>
            <w:pStyle w:val="Encabezado"/>
            <w:ind w:left="-115"/>
          </w:pPr>
        </w:p>
      </w:tc>
      <w:tc>
        <w:tcPr>
          <w:tcW w:w="2830" w:type="dxa"/>
        </w:tcPr>
        <w:p w:rsidR="0BB2574C" w:rsidP="0BB2574C" w:rsidRDefault="0BB2574C" w14:paraId="68B6DB8B" w14:textId="6AC86BBF">
          <w:pPr>
            <w:pStyle w:val="Encabezado"/>
            <w:jc w:val="center"/>
          </w:pPr>
        </w:p>
      </w:tc>
      <w:tc>
        <w:tcPr>
          <w:tcW w:w="2830" w:type="dxa"/>
        </w:tcPr>
        <w:p w:rsidR="0BB2574C" w:rsidP="0BB2574C" w:rsidRDefault="0BB2574C" w14:paraId="67D7A324" w14:textId="43E38180">
          <w:pPr>
            <w:pStyle w:val="Encabezado"/>
            <w:ind w:right="-115"/>
            <w:jc w:val="right"/>
          </w:pPr>
        </w:p>
      </w:tc>
    </w:tr>
  </w:tbl>
  <w:p w:rsidR="0BB2574C" w:rsidP="0BB2574C" w:rsidRDefault="0BB2574C" w14:paraId="450635C5" w14:textId="720F0D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7045" w:rsidP="00663068" w:rsidRDefault="00FE7045" w14:paraId="69662F3F" w14:textId="77777777">
      <w:pPr>
        <w:spacing w:after="0" w:line="240" w:lineRule="auto"/>
      </w:pPr>
      <w:r>
        <w:separator/>
      </w:r>
    </w:p>
  </w:footnote>
  <w:footnote w:type="continuationSeparator" w:id="0">
    <w:p w:rsidR="00FE7045" w:rsidP="00663068" w:rsidRDefault="00FE7045" w14:paraId="07AC51E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63068" w:rsidRDefault="0BB2574C" w14:paraId="67798B36" w14:textId="3A7CB1E4">
    <w:pPr>
      <w:pStyle w:val="Encabezado"/>
    </w:pPr>
    <w:r>
      <w:rPr>
        <w:noProof/>
      </w:rPr>
      <w:drawing>
        <wp:anchor distT="0" distB="0" distL="114300" distR="114300" simplePos="0" relativeHeight="251659264" behindDoc="0" locked="0" layoutInCell="1" allowOverlap="1" wp14:anchorId="3D74394F" wp14:editId="54309AE0">
          <wp:simplePos x="0" y="0"/>
          <wp:positionH relativeFrom="column">
            <wp:posOffset>-635</wp:posOffset>
          </wp:positionH>
          <wp:positionV relativeFrom="paragraph">
            <wp:posOffset>1270</wp:posOffset>
          </wp:positionV>
          <wp:extent cx="1104900" cy="1104900"/>
          <wp:effectExtent l="0" t="0" r="0" b="0"/>
          <wp:wrapSquare wrapText="bothSides"/>
          <wp:docPr id="18329762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243451" name="Picture 381243451"/>
                  <pic:cNvPicPr/>
                </pic:nvPicPr>
                <pic:blipFill>
                  <a:blip r:embed="rId1">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0A207EC" wp14:editId="4469D494">
          <wp:simplePos x="0" y="0"/>
          <wp:positionH relativeFrom="column">
            <wp:align>right</wp:align>
          </wp:positionH>
          <wp:positionV relativeFrom="paragraph">
            <wp:posOffset>0</wp:posOffset>
          </wp:positionV>
          <wp:extent cx="3505200" cy="597690"/>
          <wp:effectExtent l="0" t="0" r="0" b="0"/>
          <wp:wrapSquare wrapText="bothSides"/>
          <wp:docPr id="21167439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021205" name="Picture 995021205"/>
                  <pic:cNvPicPr/>
                </pic:nvPicPr>
                <pic:blipFill>
                  <a:blip r:embed="rId2">
                    <a:extLst>
                      <a:ext uri="{28A0092B-C50C-407E-A947-70E740481C1C}">
                        <a14:useLocalDpi xmlns:a14="http://schemas.microsoft.com/office/drawing/2010/main"/>
                      </a:ext>
                    </a:extLst>
                  </a:blip>
                  <a:stretch>
                    <a:fillRect/>
                  </a:stretch>
                </pic:blipFill>
                <pic:spPr>
                  <a:xfrm>
                    <a:off x="0" y="0"/>
                    <a:ext cx="3505200" cy="5976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602331"/>
    <w:multiLevelType w:val="hybridMultilevel"/>
    <w:tmpl w:val="AE8A5438"/>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num w:numId="1" w16cid:durableId="359161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068"/>
    <w:rsid w:val="0000678D"/>
    <w:rsid w:val="00012671"/>
    <w:rsid w:val="00023167"/>
    <w:rsid w:val="00044893"/>
    <w:rsid w:val="00045F2A"/>
    <w:rsid w:val="00095E8C"/>
    <w:rsid w:val="000A510A"/>
    <w:rsid w:val="001055A1"/>
    <w:rsid w:val="001142F1"/>
    <w:rsid w:val="00123448"/>
    <w:rsid w:val="00124B7D"/>
    <w:rsid w:val="00191902"/>
    <w:rsid w:val="00197B6F"/>
    <w:rsid w:val="002013ED"/>
    <w:rsid w:val="002301DF"/>
    <w:rsid w:val="002C16B8"/>
    <w:rsid w:val="002C4196"/>
    <w:rsid w:val="003679FA"/>
    <w:rsid w:val="003E6855"/>
    <w:rsid w:val="003F6BD2"/>
    <w:rsid w:val="0042141C"/>
    <w:rsid w:val="004711CC"/>
    <w:rsid w:val="0049401A"/>
    <w:rsid w:val="004E1905"/>
    <w:rsid w:val="004E35AE"/>
    <w:rsid w:val="0057580D"/>
    <w:rsid w:val="005A03F0"/>
    <w:rsid w:val="005D5844"/>
    <w:rsid w:val="0066027C"/>
    <w:rsid w:val="00663068"/>
    <w:rsid w:val="006C7942"/>
    <w:rsid w:val="007158B3"/>
    <w:rsid w:val="007207FE"/>
    <w:rsid w:val="00743146"/>
    <w:rsid w:val="007549AD"/>
    <w:rsid w:val="007A4A56"/>
    <w:rsid w:val="007E28E5"/>
    <w:rsid w:val="00800D8C"/>
    <w:rsid w:val="00804728"/>
    <w:rsid w:val="00811E83"/>
    <w:rsid w:val="00833778"/>
    <w:rsid w:val="00864CDD"/>
    <w:rsid w:val="008A24D6"/>
    <w:rsid w:val="009703E7"/>
    <w:rsid w:val="00992833"/>
    <w:rsid w:val="00A23D5D"/>
    <w:rsid w:val="00AA0BC6"/>
    <w:rsid w:val="00B405EE"/>
    <w:rsid w:val="00C162E2"/>
    <w:rsid w:val="00C733F4"/>
    <w:rsid w:val="00D03A3A"/>
    <w:rsid w:val="00D651E5"/>
    <w:rsid w:val="00D9762D"/>
    <w:rsid w:val="00DC0142"/>
    <w:rsid w:val="00DD56CD"/>
    <w:rsid w:val="00E57BC7"/>
    <w:rsid w:val="00E62406"/>
    <w:rsid w:val="00E628B2"/>
    <w:rsid w:val="00E946C9"/>
    <w:rsid w:val="00EA5276"/>
    <w:rsid w:val="00EA5AD7"/>
    <w:rsid w:val="00EC371B"/>
    <w:rsid w:val="00F70604"/>
    <w:rsid w:val="00FD1BEE"/>
    <w:rsid w:val="00FE7045"/>
    <w:rsid w:val="013A5770"/>
    <w:rsid w:val="01C24F7A"/>
    <w:rsid w:val="01CB22FF"/>
    <w:rsid w:val="01F29F21"/>
    <w:rsid w:val="01FBA12E"/>
    <w:rsid w:val="022B397B"/>
    <w:rsid w:val="02FE6824"/>
    <w:rsid w:val="03508200"/>
    <w:rsid w:val="03E6EBDC"/>
    <w:rsid w:val="04330978"/>
    <w:rsid w:val="04B53E80"/>
    <w:rsid w:val="04ECA129"/>
    <w:rsid w:val="0537F13A"/>
    <w:rsid w:val="0622FFAE"/>
    <w:rsid w:val="06BADEE0"/>
    <w:rsid w:val="06F10B14"/>
    <w:rsid w:val="070351C8"/>
    <w:rsid w:val="07FF81D8"/>
    <w:rsid w:val="08011C53"/>
    <w:rsid w:val="08C5BC4B"/>
    <w:rsid w:val="08DACDFA"/>
    <w:rsid w:val="08E0D3A1"/>
    <w:rsid w:val="08F55E60"/>
    <w:rsid w:val="097059E7"/>
    <w:rsid w:val="0979BA0E"/>
    <w:rsid w:val="0B1C26D3"/>
    <w:rsid w:val="0B9EF2CB"/>
    <w:rsid w:val="0BA846E5"/>
    <w:rsid w:val="0BB2574C"/>
    <w:rsid w:val="0CAA4BDA"/>
    <w:rsid w:val="0CCBD702"/>
    <w:rsid w:val="0D039B7A"/>
    <w:rsid w:val="0E5022E7"/>
    <w:rsid w:val="0E8FD076"/>
    <w:rsid w:val="0EC8EF15"/>
    <w:rsid w:val="0F3A72C7"/>
    <w:rsid w:val="1017CCC4"/>
    <w:rsid w:val="119C0FBC"/>
    <w:rsid w:val="11D51C96"/>
    <w:rsid w:val="136630EB"/>
    <w:rsid w:val="139EEFC6"/>
    <w:rsid w:val="13A74EB7"/>
    <w:rsid w:val="13BC9762"/>
    <w:rsid w:val="14CEF5D3"/>
    <w:rsid w:val="14D42F09"/>
    <w:rsid w:val="15713A2E"/>
    <w:rsid w:val="15CA4A8F"/>
    <w:rsid w:val="16075376"/>
    <w:rsid w:val="1664C4FE"/>
    <w:rsid w:val="16CC9817"/>
    <w:rsid w:val="16D75C92"/>
    <w:rsid w:val="18FBD586"/>
    <w:rsid w:val="1A75999C"/>
    <w:rsid w:val="1AB3A634"/>
    <w:rsid w:val="1ACEE62B"/>
    <w:rsid w:val="1B4C629D"/>
    <w:rsid w:val="1CD5FC3F"/>
    <w:rsid w:val="1D990C6A"/>
    <w:rsid w:val="1E05E2E3"/>
    <w:rsid w:val="1E418881"/>
    <w:rsid w:val="1FBAD206"/>
    <w:rsid w:val="20A84CDC"/>
    <w:rsid w:val="231EECD0"/>
    <w:rsid w:val="2323537F"/>
    <w:rsid w:val="23CD33F5"/>
    <w:rsid w:val="2406D40B"/>
    <w:rsid w:val="24197323"/>
    <w:rsid w:val="2535FFA6"/>
    <w:rsid w:val="26662B0D"/>
    <w:rsid w:val="2693FCAE"/>
    <w:rsid w:val="2698F240"/>
    <w:rsid w:val="26999A72"/>
    <w:rsid w:val="26E479B0"/>
    <w:rsid w:val="270B67A1"/>
    <w:rsid w:val="270FA340"/>
    <w:rsid w:val="2742B455"/>
    <w:rsid w:val="27EAC4B2"/>
    <w:rsid w:val="27EACB25"/>
    <w:rsid w:val="28378582"/>
    <w:rsid w:val="2847A6A9"/>
    <w:rsid w:val="2862ECE0"/>
    <w:rsid w:val="290D320C"/>
    <w:rsid w:val="2A334D79"/>
    <w:rsid w:val="2B97CAC5"/>
    <w:rsid w:val="2BC297E5"/>
    <w:rsid w:val="2C007430"/>
    <w:rsid w:val="2E535BCB"/>
    <w:rsid w:val="2E7F3C75"/>
    <w:rsid w:val="2E832E56"/>
    <w:rsid w:val="2EF5AD15"/>
    <w:rsid w:val="2EF6C796"/>
    <w:rsid w:val="2F03E12D"/>
    <w:rsid w:val="2F69DFAE"/>
    <w:rsid w:val="2F904279"/>
    <w:rsid w:val="2FC25B4E"/>
    <w:rsid w:val="3076BA50"/>
    <w:rsid w:val="307794B6"/>
    <w:rsid w:val="3158749A"/>
    <w:rsid w:val="31BF22BA"/>
    <w:rsid w:val="31CBD717"/>
    <w:rsid w:val="32B3CFAB"/>
    <w:rsid w:val="339B7A81"/>
    <w:rsid w:val="34922A92"/>
    <w:rsid w:val="363FAF0F"/>
    <w:rsid w:val="3784E2F4"/>
    <w:rsid w:val="395FF8B2"/>
    <w:rsid w:val="39A247D9"/>
    <w:rsid w:val="39E2CB57"/>
    <w:rsid w:val="3A8B0CB2"/>
    <w:rsid w:val="3B750FBF"/>
    <w:rsid w:val="3CB5AEA3"/>
    <w:rsid w:val="3D5E4757"/>
    <w:rsid w:val="3DDED91B"/>
    <w:rsid w:val="3EDB467F"/>
    <w:rsid w:val="3FAE68AA"/>
    <w:rsid w:val="3FC991DB"/>
    <w:rsid w:val="401745A8"/>
    <w:rsid w:val="4021A466"/>
    <w:rsid w:val="40F588F9"/>
    <w:rsid w:val="411550F2"/>
    <w:rsid w:val="414656A4"/>
    <w:rsid w:val="414FA928"/>
    <w:rsid w:val="41682C4B"/>
    <w:rsid w:val="4179BE37"/>
    <w:rsid w:val="4237FCB6"/>
    <w:rsid w:val="42899344"/>
    <w:rsid w:val="4323614F"/>
    <w:rsid w:val="44DA4B19"/>
    <w:rsid w:val="45BA02EB"/>
    <w:rsid w:val="477D8DD0"/>
    <w:rsid w:val="48847F8F"/>
    <w:rsid w:val="48A75A7D"/>
    <w:rsid w:val="49319478"/>
    <w:rsid w:val="49F75E17"/>
    <w:rsid w:val="4A0E6F28"/>
    <w:rsid w:val="4A813388"/>
    <w:rsid w:val="4AD11914"/>
    <w:rsid w:val="4B04D6CE"/>
    <w:rsid w:val="4B839B25"/>
    <w:rsid w:val="4C5C0CD5"/>
    <w:rsid w:val="4CE4C984"/>
    <w:rsid w:val="4D40AFF0"/>
    <w:rsid w:val="4D5B6643"/>
    <w:rsid w:val="4DED7CD2"/>
    <w:rsid w:val="4EE90552"/>
    <w:rsid w:val="4F5DB890"/>
    <w:rsid w:val="4F80106E"/>
    <w:rsid w:val="4FA36698"/>
    <w:rsid w:val="4FD82483"/>
    <w:rsid w:val="4FFD062D"/>
    <w:rsid w:val="502C068F"/>
    <w:rsid w:val="503B80C0"/>
    <w:rsid w:val="5067D75E"/>
    <w:rsid w:val="50733EA0"/>
    <w:rsid w:val="5090EB19"/>
    <w:rsid w:val="50B18764"/>
    <w:rsid w:val="50EF66A9"/>
    <w:rsid w:val="510D8654"/>
    <w:rsid w:val="52FDCB1F"/>
    <w:rsid w:val="5300E9AF"/>
    <w:rsid w:val="53233EDC"/>
    <w:rsid w:val="535A1DE8"/>
    <w:rsid w:val="53874EA1"/>
    <w:rsid w:val="5414CC2C"/>
    <w:rsid w:val="549372D8"/>
    <w:rsid w:val="57F144A5"/>
    <w:rsid w:val="581E057A"/>
    <w:rsid w:val="5826A58B"/>
    <w:rsid w:val="589E0B61"/>
    <w:rsid w:val="58D39B36"/>
    <w:rsid w:val="58E0E605"/>
    <w:rsid w:val="5906EE75"/>
    <w:rsid w:val="5944BD47"/>
    <w:rsid w:val="5A352B73"/>
    <w:rsid w:val="5A7C87B7"/>
    <w:rsid w:val="5AEE5F17"/>
    <w:rsid w:val="5B1A3813"/>
    <w:rsid w:val="5BD7B309"/>
    <w:rsid w:val="5C1CF77A"/>
    <w:rsid w:val="5C1D4861"/>
    <w:rsid w:val="5C6B32E6"/>
    <w:rsid w:val="5D05F5C1"/>
    <w:rsid w:val="5D89CB4F"/>
    <w:rsid w:val="5DD2D0AD"/>
    <w:rsid w:val="5E15CC2F"/>
    <w:rsid w:val="5F508A8A"/>
    <w:rsid w:val="5F63FE48"/>
    <w:rsid w:val="5FF50254"/>
    <w:rsid w:val="609B4522"/>
    <w:rsid w:val="60B71829"/>
    <w:rsid w:val="614DF0E1"/>
    <w:rsid w:val="617E5838"/>
    <w:rsid w:val="618433B6"/>
    <w:rsid w:val="6332A221"/>
    <w:rsid w:val="63805C5D"/>
    <w:rsid w:val="63D2A489"/>
    <w:rsid w:val="6401F291"/>
    <w:rsid w:val="6490B145"/>
    <w:rsid w:val="6519FC9A"/>
    <w:rsid w:val="6525B3B7"/>
    <w:rsid w:val="65AFB5D5"/>
    <w:rsid w:val="661974E4"/>
    <w:rsid w:val="6645ABD6"/>
    <w:rsid w:val="66A9923C"/>
    <w:rsid w:val="673C6D56"/>
    <w:rsid w:val="692B4F91"/>
    <w:rsid w:val="698CA150"/>
    <w:rsid w:val="69E564DD"/>
    <w:rsid w:val="6C3F6DE6"/>
    <w:rsid w:val="6CDC7068"/>
    <w:rsid w:val="6D284C96"/>
    <w:rsid w:val="6D48A03F"/>
    <w:rsid w:val="6D88F558"/>
    <w:rsid w:val="6DCCA800"/>
    <w:rsid w:val="6DE0733C"/>
    <w:rsid w:val="6DF301CA"/>
    <w:rsid w:val="6E2413A4"/>
    <w:rsid w:val="6E31EDFD"/>
    <w:rsid w:val="6E463704"/>
    <w:rsid w:val="6E978997"/>
    <w:rsid w:val="7088C0C1"/>
    <w:rsid w:val="71FFC635"/>
    <w:rsid w:val="7224C64A"/>
    <w:rsid w:val="723C7CBA"/>
    <w:rsid w:val="724FF604"/>
    <w:rsid w:val="72A9BCEB"/>
    <w:rsid w:val="73FFBE9A"/>
    <w:rsid w:val="74319091"/>
    <w:rsid w:val="746DAFF7"/>
    <w:rsid w:val="74E1D75B"/>
    <w:rsid w:val="758E8FF5"/>
    <w:rsid w:val="75ADCA39"/>
    <w:rsid w:val="75CF333F"/>
    <w:rsid w:val="76511649"/>
    <w:rsid w:val="7666DF81"/>
    <w:rsid w:val="774D47ED"/>
    <w:rsid w:val="7880F253"/>
    <w:rsid w:val="796C456E"/>
    <w:rsid w:val="798DDDF7"/>
    <w:rsid w:val="799776DE"/>
    <w:rsid w:val="7A9D227A"/>
    <w:rsid w:val="7AA2C21C"/>
    <w:rsid w:val="7AAAE3D4"/>
    <w:rsid w:val="7ADCDE4B"/>
    <w:rsid w:val="7BF92ADC"/>
    <w:rsid w:val="7C789611"/>
    <w:rsid w:val="7CA5D509"/>
    <w:rsid w:val="7E7BA01D"/>
    <w:rsid w:val="7ECC77CB"/>
    <w:rsid w:val="7F13FC2B"/>
    <w:rsid w:val="7F4B6363"/>
    <w:rsid w:val="7F6572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5F809"/>
  <w15:chartTrackingRefBased/>
  <w15:docId w15:val="{A05F2B8A-F3F5-483E-BD25-D7646C3B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63068"/>
  </w:style>
  <w:style w:type="paragraph" w:styleId="Ttulo1">
    <w:name w:val="heading 1"/>
    <w:basedOn w:val="Normal"/>
    <w:next w:val="Normal"/>
    <w:link w:val="Ttulo1Car"/>
    <w:uiPriority w:val="9"/>
    <w:qFormat/>
    <w:rsid w:val="0066306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6306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6306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6306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306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306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306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306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3068"/>
    <w:pPr>
      <w:keepNext/>
      <w:keepLines/>
      <w:spacing w:after="0"/>
      <w:outlineLvl w:val="8"/>
    </w:pPr>
    <w:rPr>
      <w:rFonts w:eastAsiaTheme="majorEastAsia" w:cstheme="majorBidi"/>
      <w:color w:val="272727" w:themeColor="text1" w:themeTint="D8"/>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663068"/>
    <w:rPr>
      <w:rFonts w:asciiTheme="majorHAnsi" w:hAnsiTheme="majorHAnsi" w:eastAsiaTheme="majorEastAsia" w:cstheme="majorBidi"/>
      <w:color w:val="0F4761" w:themeColor="accent1" w:themeShade="BF"/>
      <w:sz w:val="40"/>
      <w:szCs w:val="40"/>
    </w:rPr>
  </w:style>
  <w:style w:type="character" w:styleId="Ttulo2Car" w:customStyle="1">
    <w:name w:val="Título 2 Car"/>
    <w:basedOn w:val="Fuentedeprrafopredeter"/>
    <w:link w:val="Ttulo2"/>
    <w:uiPriority w:val="9"/>
    <w:semiHidden/>
    <w:rsid w:val="00663068"/>
    <w:rPr>
      <w:rFonts w:asciiTheme="majorHAnsi" w:hAnsiTheme="majorHAnsi" w:eastAsiaTheme="majorEastAsia" w:cstheme="majorBidi"/>
      <w:color w:val="0F4761" w:themeColor="accent1" w:themeShade="BF"/>
      <w:sz w:val="32"/>
      <w:szCs w:val="32"/>
    </w:rPr>
  </w:style>
  <w:style w:type="character" w:styleId="Ttulo3Car" w:customStyle="1">
    <w:name w:val="Título 3 Car"/>
    <w:basedOn w:val="Fuentedeprrafopredeter"/>
    <w:link w:val="Ttulo3"/>
    <w:uiPriority w:val="9"/>
    <w:semiHidden/>
    <w:rsid w:val="00663068"/>
    <w:rPr>
      <w:rFonts w:eastAsiaTheme="majorEastAsia" w:cstheme="majorBidi"/>
      <w:color w:val="0F4761" w:themeColor="accent1" w:themeShade="BF"/>
      <w:sz w:val="28"/>
      <w:szCs w:val="28"/>
    </w:rPr>
  </w:style>
  <w:style w:type="character" w:styleId="Ttulo4Car" w:customStyle="1">
    <w:name w:val="Título 4 Car"/>
    <w:basedOn w:val="Fuentedeprrafopredeter"/>
    <w:link w:val="Ttulo4"/>
    <w:uiPriority w:val="9"/>
    <w:semiHidden/>
    <w:rsid w:val="00663068"/>
    <w:rPr>
      <w:rFonts w:eastAsiaTheme="majorEastAsia" w:cstheme="majorBidi"/>
      <w:i/>
      <w:iCs/>
      <w:color w:val="0F4761" w:themeColor="accent1" w:themeShade="BF"/>
    </w:rPr>
  </w:style>
  <w:style w:type="character" w:styleId="Ttulo5Car" w:customStyle="1">
    <w:name w:val="Título 5 Car"/>
    <w:basedOn w:val="Fuentedeprrafopredeter"/>
    <w:link w:val="Ttulo5"/>
    <w:uiPriority w:val="9"/>
    <w:semiHidden/>
    <w:rsid w:val="00663068"/>
    <w:rPr>
      <w:rFonts w:eastAsiaTheme="majorEastAsia" w:cstheme="majorBidi"/>
      <w:color w:val="0F4761" w:themeColor="accent1" w:themeShade="BF"/>
    </w:rPr>
  </w:style>
  <w:style w:type="character" w:styleId="Ttulo6Car" w:customStyle="1">
    <w:name w:val="Título 6 Car"/>
    <w:basedOn w:val="Fuentedeprrafopredeter"/>
    <w:link w:val="Ttulo6"/>
    <w:uiPriority w:val="9"/>
    <w:semiHidden/>
    <w:rsid w:val="00663068"/>
    <w:rPr>
      <w:rFonts w:eastAsiaTheme="majorEastAsia" w:cstheme="majorBidi"/>
      <w:i/>
      <w:iCs/>
      <w:color w:val="595959" w:themeColor="text1" w:themeTint="A6"/>
    </w:rPr>
  </w:style>
  <w:style w:type="character" w:styleId="Ttulo7Car" w:customStyle="1">
    <w:name w:val="Título 7 Car"/>
    <w:basedOn w:val="Fuentedeprrafopredeter"/>
    <w:link w:val="Ttulo7"/>
    <w:uiPriority w:val="9"/>
    <w:semiHidden/>
    <w:rsid w:val="00663068"/>
    <w:rPr>
      <w:rFonts w:eastAsiaTheme="majorEastAsia" w:cstheme="majorBidi"/>
      <w:color w:val="595959" w:themeColor="text1" w:themeTint="A6"/>
    </w:rPr>
  </w:style>
  <w:style w:type="character" w:styleId="Ttulo8Car" w:customStyle="1">
    <w:name w:val="Título 8 Car"/>
    <w:basedOn w:val="Fuentedeprrafopredeter"/>
    <w:link w:val="Ttulo8"/>
    <w:uiPriority w:val="9"/>
    <w:semiHidden/>
    <w:rsid w:val="00663068"/>
    <w:rPr>
      <w:rFonts w:eastAsiaTheme="majorEastAsia" w:cstheme="majorBidi"/>
      <w:i/>
      <w:iCs/>
      <w:color w:val="272727" w:themeColor="text1" w:themeTint="D8"/>
    </w:rPr>
  </w:style>
  <w:style w:type="character" w:styleId="Ttulo9Car" w:customStyle="1">
    <w:name w:val="Título 9 Car"/>
    <w:basedOn w:val="Fuentedeprrafopredeter"/>
    <w:link w:val="Ttulo9"/>
    <w:uiPriority w:val="9"/>
    <w:semiHidden/>
    <w:rsid w:val="00663068"/>
    <w:rPr>
      <w:rFonts w:eastAsiaTheme="majorEastAsia" w:cstheme="majorBidi"/>
      <w:color w:val="272727" w:themeColor="text1" w:themeTint="D8"/>
    </w:rPr>
  </w:style>
  <w:style w:type="paragraph" w:styleId="Ttulo">
    <w:name w:val="Title"/>
    <w:basedOn w:val="Normal"/>
    <w:next w:val="Normal"/>
    <w:link w:val="TtuloCar"/>
    <w:uiPriority w:val="10"/>
    <w:qFormat/>
    <w:rsid w:val="00663068"/>
    <w:pPr>
      <w:spacing w:after="80" w:line="240" w:lineRule="auto"/>
      <w:contextualSpacing/>
    </w:pPr>
    <w:rPr>
      <w:rFonts w:asciiTheme="majorHAnsi" w:hAnsiTheme="majorHAnsi" w:eastAsiaTheme="majorEastAsia" w:cstheme="majorBidi"/>
      <w:spacing w:val="-10"/>
      <w:kern w:val="28"/>
      <w:sz w:val="56"/>
      <w:szCs w:val="56"/>
    </w:rPr>
  </w:style>
  <w:style w:type="character" w:styleId="TtuloCar" w:customStyle="1">
    <w:name w:val="Título Car"/>
    <w:basedOn w:val="Fuentedeprrafopredeter"/>
    <w:link w:val="Ttulo"/>
    <w:uiPriority w:val="10"/>
    <w:rsid w:val="00663068"/>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ar"/>
    <w:uiPriority w:val="11"/>
    <w:qFormat/>
    <w:rsid w:val="00663068"/>
    <w:pPr>
      <w:numPr>
        <w:ilvl w:val="1"/>
      </w:numPr>
    </w:pPr>
    <w:rPr>
      <w:rFonts w:eastAsiaTheme="majorEastAsia" w:cstheme="majorBidi"/>
      <w:color w:val="595959" w:themeColor="text1" w:themeTint="A6"/>
      <w:spacing w:val="15"/>
      <w:sz w:val="28"/>
      <w:szCs w:val="28"/>
    </w:rPr>
  </w:style>
  <w:style w:type="character" w:styleId="SubttuloCar" w:customStyle="1">
    <w:name w:val="Subtítulo Car"/>
    <w:basedOn w:val="Fuentedeprrafopredeter"/>
    <w:link w:val="Subttulo"/>
    <w:uiPriority w:val="11"/>
    <w:rsid w:val="0066306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3068"/>
    <w:pPr>
      <w:spacing w:before="160"/>
      <w:jc w:val="center"/>
    </w:pPr>
    <w:rPr>
      <w:i/>
      <w:iCs/>
      <w:color w:val="404040" w:themeColor="text1" w:themeTint="BF"/>
    </w:rPr>
  </w:style>
  <w:style w:type="character" w:styleId="CitaCar" w:customStyle="1">
    <w:name w:val="Cita Car"/>
    <w:basedOn w:val="Fuentedeprrafopredeter"/>
    <w:link w:val="Cita"/>
    <w:uiPriority w:val="29"/>
    <w:rsid w:val="00663068"/>
    <w:rPr>
      <w:i/>
      <w:iCs/>
      <w:color w:val="404040" w:themeColor="text1" w:themeTint="BF"/>
    </w:rPr>
  </w:style>
  <w:style w:type="paragraph" w:styleId="Prrafodelista">
    <w:name w:val="List Paragraph"/>
    <w:basedOn w:val="Normal"/>
    <w:uiPriority w:val="34"/>
    <w:qFormat/>
    <w:rsid w:val="00663068"/>
    <w:pPr>
      <w:ind w:left="720"/>
      <w:contextualSpacing/>
    </w:pPr>
  </w:style>
  <w:style w:type="character" w:styleId="nfasisintenso">
    <w:name w:val="Intense Emphasis"/>
    <w:basedOn w:val="Fuentedeprrafopredeter"/>
    <w:uiPriority w:val="21"/>
    <w:qFormat/>
    <w:rsid w:val="00663068"/>
    <w:rPr>
      <w:i/>
      <w:iCs/>
      <w:color w:val="0F4761" w:themeColor="accent1" w:themeShade="BF"/>
    </w:rPr>
  </w:style>
  <w:style w:type="paragraph" w:styleId="Citadestacada">
    <w:name w:val="Intense Quote"/>
    <w:basedOn w:val="Normal"/>
    <w:next w:val="Normal"/>
    <w:link w:val="CitadestacadaCar"/>
    <w:uiPriority w:val="30"/>
    <w:qFormat/>
    <w:rsid w:val="0066306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destacadaCar" w:customStyle="1">
    <w:name w:val="Cita destacada Car"/>
    <w:basedOn w:val="Fuentedeprrafopredeter"/>
    <w:link w:val="Citadestacada"/>
    <w:uiPriority w:val="30"/>
    <w:rsid w:val="00663068"/>
    <w:rPr>
      <w:i/>
      <w:iCs/>
      <w:color w:val="0F4761" w:themeColor="accent1" w:themeShade="BF"/>
    </w:rPr>
  </w:style>
  <w:style w:type="character" w:styleId="Referenciaintensa">
    <w:name w:val="Intense Reference"/>
    <w:basedOn w:val="Fuentedeprrafopredeter"/>
    <w:uiPriority w:val="32"/>
    <w:qFormat/>
    <w:rsid w:val="00663068"/>
    <w:rPr>
      <w:b/>
      <w:bCs/>
      <w:smallCaps/>
      <w:color w:val="0F4761" w:themeColor="accent1" w:themeShade="BF"/>
      <w:spacing w:val="5"/>
    </w:rPr>
  </w:style>
  <w:style w:type="character" w:styleId="Hipervnculo">
    <w:name w:val="Hyperlink"/>
    <w:basedOn w:val="Fuentedeprrafopredeter"/>
    <w:uiPriority w:val="99"/>
    <w:unhideWhenUsed/>
    <w:rsid w:val="00663068"/>
    <w:rPr>
      <w:color w:val="467886" w:themeColor="hyperlink"/>
      <w:u w:val="single"/>
    </w:rPr>
  </w:style>
  <w:style w:type="character" w:styleId="Mencinsinresolver">
    <w:name w:val="Unresolved Mention"/>
    <w:basedOn w:val="Fuentedeprrafopredeter"/>
    <w:uiPriority w:val="99"/>
    <w:semiHidden/>
    <w:unhideWhenUsed/>
    <w:rsid w:val="00663068"/>
    <w:rPr>
      <w:color w:val="605E5C"/>
      <w:shd w:val="clear" w:color="auto" w:fill="E1DFDD"/>
    </w:rPr>
  </w:style>
  <w:style w:type="paragraph" w:styleId="Encabezado">
    <w:name w:val="header"/>
    <w:basedOn w:val="Normal"/>
    <w:link w:val="EncabezadoCar"/>
    <w:uiPriority w:val="99"/>
    <w:unhideWhenUsed/>
    <w:rsid w:val="00663068"/>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663068"/>
  </w:style>
  <w:style w:type="paragraph" w:styleId="Piedepgina">
    <w:name w:val="footer"/>
    <w:basedOn w:val="Normal"/>
    <w:link w:val="PiedepginaCar"/>
    <w:uiPriority w:val="99"/>
    <w:unhideWhenUsed/>
    <w:rsid w:val="00663068"/>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663068"/>
  </w:style>
  <w:style w:type="table" w:styleId="Tablaconcuadrcula">
    <w:name w:val="Table Grid"/>
    <w:basedOn w:val="Tab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antonio@aletreo.com"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mmar@aletreo.com"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doccasfood.com/"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http://gracomsa.com/"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6194045EBA13A4FA4BE6A0717CD4DF9" ma:contentTypeVersion="21" ma:contentTypeDescription="Crear nuevo documento." ma:contentTypeScope="" ma:versionID="8632a18d7064c17ec348ab81cdd7b8fb">
  <xsd:schema xmlns:xsd="http://www.w3.org/2001/XMLSchema" xmlns:xs="http://www.w3.org/2001/XMLSchema" xmlns:p="http://schemas.microsoft.com/office/2006/metadata/properties" xmlns:ns2="7870b254-d888-4a2d-a344-0d5ceb826603" xmlns:ns3="034d05a8-5898-4ce1-a17b-935fecb04116" targetNamespace="http://schemas.microsoft.com/office/2006/metadata/properties" ma:root="true" ma:fieldsID="43d53928a4a493b6502f17b2cdac7895" ns2:_="" ns3:_="">
    <xsd:import namespace="7870b254-d888-4a2d-a344-0d5ceb826603"/>
    <xsd:import namespace="034d05a8-5898-4ce1-a17b-935fecb041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0b254-d888-4a2d-a344-0d5ceb826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50af38df-3dc0-4c43-9776-bf7c2583ca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4d05a8-5898-4ce1-a17b-935fecb04116"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b77c614-f447-4511-a76d-9a78c696986d}" ma:internalName="TaxCatchAll" ma:showField="CatchAllData" ma:web="034d05a8-5898-4ce1-a17b-935fecb04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34d05a8-5898-4ce1-a17b-935fecb04116" xsi:nil="true"/>
    <_Flow_SignoffStatus xmlns="7870b254-d888-4a2d-a344-0d5ceb826603" xsi:nil="true"/>
    <lcf76f155ced4ddcb4097134ff3c332f xmlns="7870b254-d888-4a2d-a344-0d5ceb82660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DB2938-62F5-4474-A17D-A7B7DD080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0b254-d888-4a2d-a344-0d5ceb826603"/>
    <ds:schemaRef ds:uri="034d05a8-5898-4ce1-a17b-935fecb04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C86C60-C3D6-45D8-A083-D0E803C8DE46}">
  <ds:schemaRefs>
    <ds:schemaRef ds:uri="http://schemas.microsoft.com/office/2006/metadata/properties"/>
    <ds:schemaRef ds:uri="http://schemas.microsoft.com/office/infopath/2007/PartnerControls"/>
    <ds:schemaRef ds:uri="034d05a8-5898-4ce1-a17b-935fecb04116"/>
    <ds:schemaRef ds:uri="7870b254-d888-4a2d-a344-0d5ceb826603"/>
  </ds:schemaRefs>
</ds:datastoreItem>
</file>

<file path=customXml/itemProps3.xml><?xml version="1.0" encoding="utf-8"?>
<ds:datastoreItem xmlns:ds="http://schemas.openxmlformats.org/officeDocument/2006/customXml" ds:itemID="{8AE8CCB7-0604-4BB3-A7F7-D4C098E03C2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Mª del Mar  Benlloch</dc:creator>
  <keywords/>
  <dc:description/>
  <lastModifiedBy>Mª del Mar  Benlloch</lastModifiedBy>
  <revision>27</revision>
  <dcterms:created xsi:type="dcterms:W3CDTF">2026-05-05T18:53:00.0000000Z</dcterms:created>
  <dcterms:modified xsi:type="dcterms:W3CDTF">2026-09-10T09:14:46.7829736Z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0x01010086194045EBA13A4FA4BE6A0717CD4DF9</vt:lpwstr>
  </property>
  <property fmtid="{D5CDD505-2E9C-101B-9397-08002B2CF9AE}" pid="3" name="MediaServiceImageTags">
    <vt:lpwstr/>
  </property>
</Properties>
</file>