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spacing w:lineRule="auto" w:line="276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spacing w:lineRule="auto" w:line="312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" w:eastAsia="es-ES"/>
        </w:rPr>
      </w:pPr>
      <w:r>
        <w:rPr>
          <w:rFonts w:cs="Arial" w:ascii="Arial" w:hAnsi="Arial"/>
          <w:b/>
          <w:bCs/>
          <w:color w:val="000000"/>
          <w:sz w:val="32"/>
          <w:szCs w:val="32"/>
          <w:lang w:val="es-ES" w:eastAsia="es-ES"/>
        </w:rPr>
        <w:t xml:space="preserve">Transgourmet apuesta por el talento interno y refuerza </w:t>
      </w:r>
    </w:p>
    <w:p>
      <w:pPr>
        <w:pStyle w:val="Normal"/>
        <w:spacing w:lineRule="auto" w:line="312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" w:eastAsia="es-ES"/>
        </w:rPr>
      </w:pPr>
      <w:r>
        <w:rPr>
          <w:rFonts w:cs="Arial" w:ascii="Arial" w:hAnsi="Arial"/>
          <w:b/>
          <w:bCs/>
          <w:color w:val="000000"/>
          <w:sz w:val="32"/>
          <w:szCs w:val="32"/>
          <w:lang w:val="es-ES" w:eastAsia="es-ES"/>
        </w:rPr>
        <w:t>su estructura con nuevos directores de Horeca y Retail</w:t>
      </w:r>
    </w:p>
    <w:p>
      <w:pPr>
        <w:pStyle w:val="Normal"/>
        <w:spacing w:lineRule="auto" w:line="312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" w:eastAsia="es-ES"/>
        </w:rPr>
      </w:pPr>
      <w:r>
        <w:rPr>
          <w:rFonts w:cs="Arial" w:ascii="Arial" w:hAnsi="Arial"/>
          <w:b/>
          <w:bCs/>
          <w:color w:val="000000"/>
          <w:sz w:val="32"/>
          <w:szCs w:val="32"/>
          <w:lang w:val="es-ES" w:eastAsia="es-ES"/>
        </w:rPr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  <w:t>Continuando con la decisión de impulsar cambios en la compañía, Alfonso Paul es el nuevo director del área de Retail y Jordi Arredondo, el nuevo director de Horeca.</w:t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  <w:t>Los dos directores son profesionales con una amplia trayectoria dentro de la compañía.</w:t>
      </w:r>
    </w:p>
    <w:p>
      <w:pPr>
        <w:pStyle w:val="Normal"/>
        <w:spacing w:lineRule="auto" w:line="360"/>
        <w:ind w:start="1440" w:end="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Cs/>
          <w:color w:val="000000"/>
          <w:sz w:val="22"/>
          <w:szCs w:val="22"/>
          <w:lang w:val="es-ES"/>
        </w:rPr>
      </w:pPr>
      <w:r>
        <w:rPr>
          <w:rFonts w:cs="Arial" w:ascii="Arial" w:hAnsi="Arial"/>
          <w:b/>
          <w:bCs/>
          <w:color w:val="000000"/>
          <w:sz w:val="22"/>
          <w:szCs w:val="22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b/>
          <w:bCs/>
          <w:color w:val="000000"/>
          <w:sz w:val="22"/>
          <w:szCs w:val="22"/>
          <w:lang w:val="es-ES"/>
        </w:rPr>
        <w:t>14 de octubre de 2026</w:t>
      </w:r>
      <w:r>
        <w:rPr>
          <w:rFonts w:cs="Arial" w:ascii="Arial" w:hAnsi="Arial"/>
          <w:color w:val="000000"/>
          <w:sz w:val="22"/>
          <w:szCs w:val="22"/>
          <w:lang w:val="es-ES"/>
        </w:rPr>
        <w:t xml:space="preserve">. Transgourmet Ibérica, dedicada a la distribución a la hostelería y a los supermercados de proximidad, ha impulsado cambios internos en la compañía nombrando nuevos directores de la línea de Retail y Horeca en el marco de su estrategia para fortalecer su estructura organizativa, impulsar el negocio y seguir generando nuevas oportunidades de crecimiento. </w:t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  <w:t xml:space="preserve">Los dos nombramientos corresponden a profesionales con una amplia trayectoria en la compañía y que asumen ahora nuevas responsabilidades. Así, Alfonso Paul, hasta ahora director nacional de Horeca, asume la dirección nacional de Retail, y Jordi Arredondo, hasta ahora director del área de Retail, es el nuevo director del área Horeca. Los dos nombramientos ponen en valor su trayectoria, su conocimiento del negocio y su compromiso con la organización. </w:t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  <w:t>Esta apuesta por el talento interno permite reforzar el liderazgo de áreas clave y dar continuidad a la evolución de la compañía, aprovechando la experiencia y el conocimiento acumulados por sus equipos.</w:t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  <w:t>Con esta nueva estructura, la compañía busca potenciar la coordinación entre las distintas áreas, reforzar su orientación al mercado y desarrollar nuevas iniciativas que contribuyan a mejorar los resultados, fortalecer las relaciones con los clientes y consolidar su posicionamiento.</w:t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  <w:t>Los nuevos directores tendrán como principales retos impulsar el desarrollo de sus respectivas áreas, identificar nuevas oportunidades de negocio y contribuir a la consecución de los objetivos estratégicos de la compañía.</w:t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color w:val="000000"/>
          <w:sz w:val="22"/>
          <w:szCs w:val="22"/>
          <w:lang w:val="es-ES"/>
        </w:rPr>
      </w:pPr>
      <w:r>
        <w:rPr>
          <w:rFonts w:cs="Arial" w:ascii="Arial" w:hAnsi="Arial"/>
          <w:b/>
          <w:color w:val="000000"/>
          <w:sz w:val="22"/>
          <w:szCs w:val="22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SOBRE TRANSGOURMET IBÉRICA</w:t>
      </w:r>
    </w:p>
    <w:p>
      <w:pPr>
        <w:pStyle w:val="Normal"/>
        <w:spacing w:lineRule="auto" w:line="360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cs="Arial" w:ascii="Arial" w:hAnsi="Arial"/>
          <w:color w:val="121212"/>
          <w:sz w:val="22"/>
          <w:szCs w:val="22"/>
        </w:rPr>
        <w:t xml:space="preserve">Transgourmet Ibérica es propiedad del grupo suizo Transgourmet, la segunda empresa de distribución mayorista de Europa, que pertenece, a su vez, al grupo Coop. Actualmente cuenta </w:t>
      </w:r>
      <w:r>
        <w:rPr>
          <w:rFonts w:cs="Arial" w:ascii="Arial" w:hAnsi="Arial"/>
          <w:sz w:val="22"/>
          <w:szCs w:val="22"/>
        </w:rPr>
        <w:t>con 7 plataformas de distribución</w:t>
      </w:r>
      <w:r>
        <w:rPr>
          <w:rFonts w:cs="Arial" w:ascii="Arial" w:hAnsi="Arial"/>
          <w:color w:val="121212"/>
          <w:sz w:val="22"/>
          <w:szCs w:val="22"/>
        </w:rPr>
        <w:t xml:space="preserve"> repartidas por toda España y es referente en el sector de </w:t>
      </w:r>
      <w:r>
        <w:rPr>
          <w:rFonts w:cs="Arial" w:ascii="Arial" w:hAnsi="Arial"/>
          <w:i/>
          <w:iCs/>
          <w:color w:val="121212"/>
          <w:sz w:val="22"/>
          <w:szCs w:val="22"/>
        </w:rPr>
        <w:t>retail,</w:t>
      </w:r>
      <w:r>
        <w:rPr>
          <w:rFonts w:cs="Arial" w:ascii="Arial" w:hAnsi="Arial"/>
          <w:color w:val="121212"/>
          <w:sz w:val="22"/>
          <w:szCs w:val="22"/>
        </w:rPr>
        <w:t xml:space="preserve"> con más de 700 supermercados bajo las enseñas Suma, Proxim, Spar y Kuups, y más de 2.500 </w:t>
      </w:r>
      <w:r>
        <w:rPr>
          <w:rFonts w:cs="Arial" w:ascii="Arial" w:hAnsi="Arial"/>
          <w:bCs/>
          <w:color w:val="000000"/>
          <w:sz w:val="22"/>
          <w:szCs w:val="22"/>
        </w:rPr>
        <w:t>clientes independientes.</w:t>
      </w:r>
    </w:p>
    <w:p>
      <w:pPr>
        <w:pStyle w:val="NormalWeb"/>
        <w:spacing w:lineRule="auto" w:line="360" w:before="0" w:after="0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cs="Arial" w:ascii="Arial" w:hAnsi="Arial"/>
          <w:bCs/>
          <w:color w:val="000000"/>
          <w:sz w:val="22"/>
          <w:szCs w:val="22"/>
        </w:rPr>
      </w:r>
    </w:p>
    <w:p>
      <w:pPr>
        <w:pStyle w:val="NormalWeb"/>
        <w:spacing w:lineRule="auto" w:line="360" w:before="0" w:after="0"/>
        <w:jc w:val="both"/>
        <w:rPr>
          <w:rFonts w:ascii="Arial" w:hAnsi="Arial" w:cs="Arial"/>
          <w:color w:val="121212"/>
          <w:sz w:val="22"/>
          <w:szCs w:val="22"/>
        </w:rPr>
      </w:pPr>
      <w:r>
        <w:rPr>
          <w:rFonts w:cs="Arial" w:ascii="Arial" w:hAnsi="Arial"/>
          <w:bCs/>
          <w:color w:val="000000"/>
          <w:sz w:val="22"/>
          <w:szCs w:val="22"/>
        </w:rPr>
        <w:t>Asimismo, la empresa cuenta con su línea de servicio</w:t>
      </w:r>
      <w:r>
        <w:rPr>
          <w:rFonts w:cs="Arial" w:ascii="Arial" w:hAnsi="Arial"/>
          <w:color w:val="121212"/>
          <w:sz w:val="22"/>
          <w:szCs w:val="22"/>
        </w:rPr>
        <w:t xml:space="preserve"> a la hostelería compuesta por        74 centros </w:t>
      </w:r>
      <w:r>
        <w:rPr>
          <w:rFonts w:cs="Arial" w:ascii="Arial" w:hAnsi="Arial"/>
          <w:i/>
          <w:iCs/>
          <w:color w:val="121212"/>
          <w:sz w:val="22"/>
          <w:szCs w:val="22"/>
        </w:rPr>
        <w:t>cash&amp;carry</w:t>
      </w:r>
      <w:r>
        <w:rPr>
          <w:rFonts w:cs="Arial" w:ascii="Arial" w:hAnsi="Arial"/>
          <w:color w:val="121212"/>
          <w:sz w:val="22"/>
          <w:szCs w:val="22"/>
        </w:rPr>
        <w:t xml:space="preserve"> y 29 gasolineras GM Oil, y una red formada por 400 comerciales de </w:t>
      </w:r>
      <w:r>
        <w:rPr>
          <w:rFonts w:cs="Arial" w:ascii="Arial" w:hAnsi="Arial"/>
          <w:i/>
          <w:iCs/>
          <w:color w:val="121212"/>
          <w:sz w:val="22"/>
          <w:szCs w:val="22"/>
        </w:rPr>
        <w:t>food service</w:t>
      </w:r>
      <w:r>
        <w:rPr>
          <w:rFonts w:cs="Arial" w:ascii="Arial" w:hAnsi="Arial"/>
          <w:color w:val="121212"/>
          <w:sz w:val="22"/>
          <w:szCs w:val="22"/>
        </w:rPr>
        <w:t> y una flota que supera los 300 vehículos para el servicio de reparto.</w:t>
      </w:r>
    </w:p>
    <w:p>
      <w:pPr>
        <w:pStyle w:val="NormalWeb"/>
        <w:spacing w:lineRule="auto" w:line="360" w:before="0" w:after="0"/>
        <w:jc w:val="both"/>
        <w:rPr>
          <w:rFonts w:ascii="Arial" w:hAnsi="Arial" w:cs="Arial"/>
          <w:color w:val="121212"/>
          <w:sz w:val="22"/>
          <w:szCs w:val="22"/>
        </w:rPr>
      </w:pPr>
      <w:r>
        <w:rPr>
          <w:rFonts w:cs="Arial" w:ascii="Arial" w:hAnsi="Arial"/>
          <w:color w:val="121212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Para más información: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Silvia Egea / Susana Moreno 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  <w:lang w:val="pt-PT"/>
        </w:rPr>
      </w:pPr>
      <w:r>
        <w:rPr>
          <w:rFonts w:cs="Arial" w:ascii="Arial" w:hAnsi="Arial"/>
          <w:sz w:val="21"/>
          <w:szCs w:val="21"/>
          <w:lang w:val="pt-PT"/>
        </w:rPr>
        <w:t>Teléfono: +34 676 91 23 39 / +34 607 69 47 60</w:t>
      </w:r>
    </w:p>
    <w:p>
      <w:pPr>
        <w:pStyle w:val="Normal"/>
        <w:rPr>
          <w:rFonts w:ascii="Arial" w:hAnsi="Arial" w:cs="Arial"/>
          <w:color w:val="000000"/>
          <w:sz w:val="21"/>
          <w:szCs w:val="21"/>
          <w:lang w:val="pt-PT" w:eastAsia="en-US"/>
        </w:rPr>
      </w:pPr>
      <w:r>
        <w:rPr>
          <w:rFonts w:cs="Arial" w:ascii="Arial" w:hAnsi="Arial"/>
          <w:sz w:val="21"/>
          <w:szCs w:val="21"/>
          <w:lang w:val="pt-PT"/>
        </w:rPr>
        <w:t xml:space="preserve">E-mail: </w:t>
      </w:r>
      <w:hyperlink r:id="rId2">
        <w:r>
          <w:rPr>
            <w:rStyle w:val="Hyperlink"/>
            <w:rFonts w:cs="Arial" w:ascii="Arial" w:hAnsi="Arial"/>
            <w:sz w:val="21"/>
            <w:szCs w:val="21"/>
            <w:lang w:val="pt-PT"/>
          </w:rPr>
          <w:t>silvia.egea@corpocomunicacion.com</w:t>
        </w:r>
      </w:hyperlink>
      <w:r>
        <w:rPr>
          <w:rFonts w:cs="Arial" w:ascii="Arial" w:hAnsi="Arial"/>
          <w:sz w:val="21"/>
          <w:szCs w:val="21"/>
          <w:lang w:val="pt-PT"/>
        </w:rPr>
        <w:t xml:space="preserve"> / </w:t>
      </w:r>
      <w:hyperlink r:id="rId3">
        <w:r>
          <w:rPr>
            <w:rStyle w:val="Hyperlink"/>
            <w:rFonts w:cs="Arial" w:ascii="Arial" w:hAnsi="Arial"/>
            <w:sz w:val="21"/>
            <w:szCs w:val="21"/>
            <w:lang w:val="pt-PT"/>
          </w:rPr>
          <w:t>susana.moreno@corpocomunicacion.com</w:t>
        </w:r>
      </w:hyperlink>
    </w:p>
    <w:p>
      <w:pPr>
        <w:pStyle w:val="Normal"/>
        <w:spacing w:lineRule="auto" w:line="360" w:before="280" w:after="280"/>
        <w:jc w:val="both"/>
        <w:rPr>
          <w:rFonts w:ascii="Arial" w:hAnsi="Arial" w:cs="Arial"/>
          <w:b/>
          <w:color w:val="000000"/>
          <w:sz w:val="21"/>
          <w:szCs w:val="21"/>
          <w:lang w:val="pt-PT" w:eastAsia="en-US"/>
        </w:rPr>
      </w:pPr>
      <w:r>
        <w:rPr>
          <w:rFonts w:cs="Arial" w:ascii="Arial" w:hAnsi="Arial"/>
          <w:b/>
          <w:color w:val="000000"/>
          <w:sz w:val="21"/>
          <w:szCs w:val="21"/>
          <w:lang w:val="pt-PT" w:eastAsia="en-US"/>
        </w:rPr>
      </w:r>
    </w:p>
    <w:p>
      <w:pPr>
        <w:pStyle w:val="NormalWeb"/>
        <w:spacing w:lineRule="auto" w:line="360" w:before="0" w:after="0"/>
        <w:jc w:val="both"/>
        <w:rPr>
          <w:rFonts w:ascii="Arial" w:hAnsi="Arial" w:cs="Arial"/>
          <w:b/>
          <w:color w:val="121212"/>
          <w:sz w:val="22"/>
          <w:szCs w:val="22"/>
          <w:lang w:val="pt-PT"/>
        </w:rPr>
      </w:pPr>
      <w:r>
        <w:rPr>
          <w:rFonts w:cs="Arial" w:ascii="Arial" w:hAnsi="Arial"/>
          <w:b/>
          <w:color w:val="121212"/>
          <w:sz w:val="22"/>
          <w:szCs w:val="22"/>
          <w:lang w:val="pt-PT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color w:val="121212"/>
          <w:sz w:val="20"/>
          <w:szCs w:val="20"/>
        </w:rPr>
      </w:pPr>
      <w:r>
        <w:rPr>
          <w:rFonts w:cs="Arial" w:ascii="Arial" w:hAnsi="Arial"/>
          <w:b/>
          <w:color w:val="121212"/>
          <w:sz w:val="20"/>
          <w:szCs w:val="20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sectPr>
      <w:headerReference w:type="default" r:id="rId4"/>
      <w:type w:val="nextPage"/>
      <w:pgSz w:w="11906" w:h="16838"/>
      <w:pgMar w:left="1701" w:right="1276" w:gutter="0" w:header="709" w:top="765" w:footer="0" w:bottom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Symbol">
    <w:charset w:val="02"/>
    <w:family w:val="decorative"/>
    <w:pitch w:val="variable"/>
  </w:font>
  <w:font w:name="Courier New">
    <w:charset w:val="00" w:characterSet="windows-1252"/>
    <w:family w:val="modern"/>
    <w:pitch w:val="default"/>
  </w:font>
  <w:font w:name="Wingdings">
    <w:charset w:val="00" w:characterSet="windows-1252"/>
    <w:family w:val="decorative"/>
    <w:pitch w:val="variable"/>
  </w:font>
  <w:font w:name="Liberation Sans">
    <w:altName w:val="Arial"/>
    <w:charset w:val="01" w:characterSet="utf-8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es-ES" w:eastAsia="en-US"/>
      </w:rPr>
    </w:pPr>
    <w:r>
      <w:rPr>
        <w:lang w:val="es-ES" w:eastAsia="en-US"/>
      </w:rPr>
      <w:drawing>
        <wp:inline distT="0" distB="0" distL="0" distR="0">
          <wp:extent cx="1258570" cy="493395"/>
          <wp:effectExtent l="0" t="0" r="0" b="0"/>
          <wp:docPr id="1" name="Image1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9" t="-74" r="-29" b="-74"/>
                  <a:stretch>
                    <a:fillRect/>
                  </a:stretch>
                </pic:blipFill>
                <pic:spPr bwMode="auto">
                  <a:xfrm>
                    <a:off x="0" y="0"/>
                    <a:ext cx="125857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color w:val="00000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2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s-ES_tradnl" w:bidi="ar-SA" w:eastAsia="zh-CN"/>
    </w:rPr>
  </w:style>
  <w:style w:type="paragraph" w:styleId="Heading3">
    <w:name w:val="Heading 3"/>
    <w:basedOn w:val="Normal"/>
    <w:next w:val="BodyText"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  <w:lang w:val="es-ES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Wingdings" w:hAnsi="Wingdings" w:cs="Wingdings"/>
      <w:color w:val="000000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Wingdings" w:hAnsi="Wingdings" w:cs="Wingdings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Fuentedeprrafopredeter">
    <w:name w:val="Fuente de párrafo predeter."/>
    <w:qFormat/>
    <w:rPr/>
  </w:style>
  <w:style w:type="character" w:styleId="Strong">
    <w:name w:val="Strong"/>
    <w:qFormat/>
    <w:rPr>
      <w:b/>
      <w:bCs/>
    </w:rPr>
  </w:style>
  <w:style w:type="character" w:styleId="apple-converted-space">
    <w:name w:val="apple-converted-space"/>
    <w:qFormat/>
    <w:rPr/>
  </w:style>
  <w:style w:type="character" w:styleId="EncabezadoCar">
    <w:name w:val="Encabezado Car"/>
    <w:qFormat/>
    <w:rPr>
      <w:sz w:val="24"/>
      <w:szCs w:val="24"/>
      <w:lang w:val="es-ES_tradnl"/>
    </w:rPr>
  </w:style>
  <w:style w:type="character" w:styleId="PiedepginaCar">
    <w:name w:val="Pie de página Car"/>
    <w:qFormat/>
    <w:rPr>
      <w:sz w:val="24"/>
      <w:szCs w:val="24"/>
      <w:lang w:val="es-ES_tradnl"/>
    </w:rPr>
  </w:style>
  <w:style w:type="character" w:styleId="Hyperlink">
    <w:name w:val="Hyperlink"/>
    <w:rPr>
      <w:color w:val="0563C1"/>
      <w:u w:val="single"/>
    </w:rPr>
  </w:style>
  <w:style w:type="character" w:styleId="Mencinsinresolver">
    <w:name w:val="Mención sin resolver"/>
    <w:qFormat/>
    <w:rPr>
      <w:color w:val="605E5C"/>
      <w:shd w:fill="E1DFDD" w:val="clear"/>
    </w:rPr>
  </w:style>
  <w:style w:type="character" w:styleId="FollowedHyperlink">
    <w:name w:val="FollowedHyperlink"/>
    <w:rPr>
      <w:color w:val="954F72"/>
      <w:u w:val="single"/>
    </w:rPr>
  </w:style>
  <w:style w:type="character" w:styleId="Emphasis">
    <w:name w:val="Emphasis"/>
    <w:qFormat/>
    <w:rPr>
      <w:i/>
      <w:iCs/>
    </w:rPr>
  </w:style>
  <w:style w:type="character" w:styleId="Ttulo3Car">
    <w:name w:val="Título 3 Car"/>
    <w:qFormat/>
    <w:rPr>
      <w:b/>
      <w:bCs/>
      <w:sz w:val="27"/>
      <w:szCs w:val="27"/>
    </w:rPr>
  </w:style>
  <w:style w:type="character" w:styleId="Refdecomentario">
    <w:name w:val="Ref. de comentario"/>
    <w:qFormat/>
    <w:rPr>
      <w:sz w:val="16"/>
      <w:szCs w:val="16"/>
    </w:rPr>
  </w:style>
  <w:style w:type="character" w:styleId="TextocomentarioCar">
    <w:name w:val="Texto comentario Car"/>
    <w:qFormat/>
    <w:rPr>
      <w:lang w:val="es-ES_tradnl"/>
    </w:rPr>
  </w:style>
  <w:style w:type="character" w:styleId="AsuntodelcomentarioCar">
    <w:name w:val="Asunto del comentario Car"/>
    <w:qFormat/>
    <w:rPr>
      <w:b/>
      <w:bCs/>
      <w:lang w:val="es-ES_tradn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pPr>
      <w:spacing w:before="0" w:after="0"/>
      <w:ind w:hanging="0" w:start="720" w:end="0"/>
      <w:contextualSpacing/>
    </w:pPr>
    <w:rPr/>
  </w:style>
  <w:style w:type="paragraph" w:styleId="NormalWeb">
    <w:name w:val="Normal (Web)"/>
    <w:basedOn w:val="Normal"/>
    <w:qFormat/>
    <w:pPr>
      <w:spacing w:before="280" w:after="280"/>
      <w:jc w:val="start"/>
    </w:pPr>
    <w:rPr>
      <w:rFonts w:ascii="Times New Roman" w:hAnsi="Times New Roman" w:eastAsia="Calibri" w:cs="Times New Roman"/>
      <w:sz w:val="24"/>
      <w:szCs w:val="24"/>
      <w:lang w:val="es-ES"/>
    </w:rPr>
  </w:style>
  <w:style w:type="paragraph" w:styleId="prrafobsico">
    <w:name w:val="prrafobsico"/>
    <w:basedOn w:val="Normal"/>
    <w:qFormat/>
    <w:pPr>
      <w:spacing w:before="280" w:after="280"/>
      <w:jc w:val="start"/>
    </w:pPr>
    <w:rPr>
      <w:rFonts w:ascii="Times New Roman" w:hAnsi="Times New Roman" w:cs="Times New Roman"/>
      <w:sz w:val="24"/>
      <w:szCs w:val="24"/>
      <w:lang w:val="es-ES_tradnl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isselectedend">
    <w:name w:val="isselectedend"/>
    <w:basedOn w:val="Normal"/>
    <w:qFormat/>
    <w:pPr>
      <w:spacing w:before="280" w:after="280"/>
    </w:pPr>
    <w:rPr>
      <w:lang w:val="es-ES"/>
    </w:rPr>
  </w:style>
  <w:style w:type="paragraph" w:styleId="Textocomentario">
    <w:name w:val="Texto comentario"/>
    <w:basedOn w:val="Normal"/>
    <w:qFormat/>
    <w:pPr/>
    <w:rPr>
      <w:sz w:val="20"/>
      <w:szCs w:val="20"/>
    </w:rPr>
  </w:style>
  <w:style w:type="paragraph" w:styleId="Asuntodelcomentario">
    <w:name w:val="Asunto del comentario"/>
    <w:basedOn w:val="Textocomentario"/>
    <w:next w:val="Textocomentario"/>
    <w:qFormat/>
    <w:pPr/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ilvia.egea@corpocomunicacion.com" TargetMode="External"/><Relationship Id="rId3" Type="http://schemas.openxmlformats.org/officeDocument/2006/relationships/hyperlink" Target="mailto:susana.moreno@corpocomunicacion.com" TargetMode="External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2026-10-14T07:56:00Z</dcterms:created>
  <dc:creator>jordi.mestre</dc:creator>
  <dc:description/>
  <cp:keywords/>
  <dc:language>en-US</dc:language>
  <cp:lastModifiedBy>SILVI EGEA BAS</cp:lastModifiedBy>
  <cp:lastPrinted>2017-12-14T17:43:00Z</cp:lastPrinted>
  <dcterms:modified xsi:type="dcterms:W3CDTF">2026-10-14T08:59:00Z</dcterms:modified>
  <cp:revision>17</cp:revision>
  <dc:subject/>
  <dc:title/>
</cp:coreProperties>
</file>