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header1.xml.rels" ContentType="application/vnd.openxmlformats-package.relationships+xml"/>
  <Override PartName="/word/_rels/document.xml.rels" ContentType="application/vnd.openxmlformats-package.relationship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jc w:val="center"/>
        <w:rPr>
          <w:rFonts w:ascii="Arial" w:hAnsi="Arial" w:cs="Arial"/>
          <w:b/>
          <w:bCs/>
          <w:sz w:val="22"/>
          <w:szCs w:val="22"/>
          <w:lang w:eastAsia="es-ES"/>
        </w:rPr>
      </w:pPr>
      <w:r>
        <w:rPr>
          <w:rFonts w:cs="Arial" w:ascii="Arial" w:hAnsi="Arial"/>
          <w:b/>
          <w:bCs/>
          <w:sz w:val="22"/>
          <w:szCs w:val="22"/>
          <w:lang w:eastAsia="es-ES"/>
        </w:rPr>
      </w:r>
    </w:p>
    <w:p>
      <w:pPr>
        <w:pStyle w:val="Normal"/>
        <w:spacing w:lineRule="auto" w:line="360"/>
        <w:rPr>
          <w:rFonts w:ascii="Arial" w:hAnsi="Arial" w:cs="Arial"/>
          <w:color w:val="000000"/>
          <w:sz w:val="22"/>
          <w:szCs w:val="22"/>
          <w:lang w:val="es-ES"/>
        </w:rPr>
      </w:pPr>
      <w:r>
        <w:rPr>
          <w:rFonts w:cs="Arial" w:ascii="Arial" w:hAnsi="Arial"/>
          <w:color w:val="000000"/>
          <w:sz w:val="22"/>
          <w:szCs w:val="22"/>
          <w:lang w:val="es-ES"/>
        </w:rPr>
        <w:t>En las localidades de Sant Hilari Sacalm y Amer</w:t>
      </w:r>
    </w:p>
    <w:p>
      <w:pPr>
        <w:pStyle w:val="Normal"/>
        <w:rPr>
          <w:rFonts w:ascii="Arial" w:hAnsi="Arial" w:cs="Arial"/>
          <w:b/>
          <w:bCs/>
          <w:color w:val="000000"/>
          <w:sz w:val="22"/>
          <w:szCs w:val="22"/>
          <w:lang w:val="es-ES"/>
        </w:rPr>
      </w:pPr>
      <w:r>
        <w:rPr>
          <w:rFonts w:cs="Arial" w:ascii="Arial" w:hAnsi="Arial"/>
          <w:b/>
          <w:bCs/>
          <w:color w:val="000000"/>
          <w:sz w:val="22"/>
          <w:szCs w:val="22"/>
          <w:lang w:val="es-ES"/>
        </w:rPr>
      </w:r>
    </w:p>
    <w:p>
      <w:pPr>
        <w:pStyle w:val="Normal"/>
        <w:rPr>
          <w:b/>
          <w:bCs/>
          <w:color w:val="000000"/>
          <w:lang w:val="es-ES"/>
        </w:rPr>
      </w:pPr>
      <w:r>
        <w:rPr>
          <w:b/>
          <w:bCs/>
          <w:color w:val="000000"/>
          <w:lang w:val="es-ES"/>
        </w:rPr>
      </w:r>
    </w:p>
    <w:p>
      <w:pPr>
        <w:pStyle w:val="Normal"/>
        <w:spacing w:lineRule="auto" w:line="360"/>
        <w:jc w:val="center"/>
        <w:rPr>
          <w:rFonts w:ascii="Arial" w:hAnsi="Arial" w:cs="Arial"/>
          <w:b/>
          <w:bCs/>
          <w:color w:val="000000"/>
          <w:lang w:val="es-ES"/>
        </w:rPr>
      </w:pPr>
      <w:r>
        <w:rPr>
          <w:rFonts w:cs="Arial" w:ascii="Arial" w:hAnsi="Arial"/>
          <w:b/>
          <w:bCs/>
          <w:color w:val="000000"/>
          <w:lang w:val="es-ES"/>
        </w:rPr>
        <w:t xml:space="preserve">Valvi abre dos nuevos Spar en la provincia de Girona </w:t>
        <w:br/>
        <w:t>y refuerza su modelo de proximidad</w:t>
      </w:r>
    </w:p>
    <w:p>
      <w:pPr>
        <w:pStyle w:val="Normal"/>
        <w:spacing w:lineRule="auto" w:line="360"/>
        <w:rPr>
          <w:rFonts w:ascii="Arial" w:hAnsi="Arial" w:cs="Arial"/>
          <w:b/>
          <w:bCs/>
          <w:color w:val="000000"/>
          <w:sz w:val="22"/>
          <w:szCs w:val="22"/>
          <w:lang w:val="es-ES"/>
        </w:rPr>
      </w:pPr>
      <w:r>
        <w:rPr>
          <w:rFonts w:cs="Arial" w:ascii="Arial" w:hAnsi="Arial"/>
          <w:b/>
          <w:bCs/>
          <w:color w:val="000000"/>
          <w:sz w:val="22"/>
          <w:szCs w:val="22"/>
          <w:lang w:val="es-ES"/>
        </w:rPr>
      </w:r>
    </w:p>
    <w:p>
      <w:pPr>
        <w:pStyle w:val="Normal"/>
        <w:spacing w:lineRule="auto" w:line="360"/>
        <w:jc w:val="both"/>
        <w:rPr>
          <w:rFonts w:ascii="Arial" w:hAnsi="Arial" w:cs="Arial"/>
          <w:b/>
          <w:bCs/>
          <w:color w:val="000000"/>
          <w:sz w:val="22"/>
          <w:szCs w:val="22"/>
          <w:lang w:val="es-ES"/>
        </w:rPr>
      </w:pPr>
      <w:r>
        <w:rPr>
          <w:rFonts w:cs="Arial" w:ascii="Arial" w:hAnsi="Arial"/>
          <w:b/>
          <w:bCs/>
          <w:color w:val="000000"/>
          <w:sz w:val="22"/>
          <w:szCs w:val="22"/>
          <w:lang w:val="es-ES"/>
        </w:rPr>
      </w:r>
    </w:p>
    <w:p>
      <w:pPr>
        <w:pStyle w:val="Normal"/>
        <w:spacing w:lineRule="auto" w:line="360"/>
        <w:jc w:val="both"/>
        <w:rPr>
          <w:rFonts w:ascii="Arial" w:hAnsi="Arial" w:cs="Arial"/>
          <w:color w:val="000000"/>
          <w:sz w:val="22"/>
          <w:szCs w:val="22"/>
          <w:lang w:val="es-ES"/>
        </w:rPr>
      </w:pPr>
      <w:r>
        <w:rPr>
          <w:rFonts w:cs="Arial" w:ascii="Arial" w:hAnsi="Arial"/>
          <w:b/>
          <w:bCs/>
          <w:color w:val="000000"/>
          <w:sz w:val="22"/>
          <w:szCs w:val="22"/>
          <w:lang w:val="es-ES"/>
        </w:rPr>
        <w:t>20 de octubre de 2026</w:t>
      </w:r>
      <w:r>
        <w:rPr>
          <w:rFonts w:cs="Arial" w:ascii="Arial" w:hAnsi="Arial"/>
          <w:color w:val="000000"/>
          <w:sz w:val="22"/>
          <w:szCs w:val="22"/>
          <w:lang w:val="es-ES"/>
        </w:rPr>
        <w:t xml:space="preserve">. Valvi ha ampliado su presencia en la provincia de Girona con dos supermercados más bajo la marca Spar, situados en las localidades de Sant Hilari Sacalm y Amer. </w:t>
      </w:r>
      <w:bookmarkStart w:id="0" w:name="_Hlk243322343"/>
      <w:r>
        <w:rPr>
          <w:rFonts w:cs="Arial" w:ascii="Arial" w:hAnsi="Arial"/>
          <w:color w:val="000000"/>
          <w:sz w:val="22"/>
          <w:szCs w:val="22"/>
          <w:lang w:val="es-ES"/>
        </w:rPr>
        <w:t>Se trata de dos establecimientos ya existentes que, al pasar a la enseña Spar, se han renovado y han sido objeto de una adaptación de su imagen y surtido.</w:t>
      </w:r>
    </w:p>
    <w:p>
      <w:pPr>
        <w:pStyle w:val="Normal"/>
        <w:spacing w:lineRule="auto" w:line="360"/>
        <w:jc w:val="both"/>
        <w:rPr>
          <w:rFonts w:ascii="Arial" w:hAnsi="Arial" w:cs="Arial"/>
          <w:color w:val="000000"/>
          <w:sz w:val="22"/>
          <w:szCs w:val="22"/>
          <w:lang w:val="es-ES_tradnl"/>
        </w:rPr>
      </w:pPr>
      <w:r>
        <w:rPr>
          <w:rFonts w:cs="Arial" w:ascii="Arial" w:hAnsi="Arial"/>
          <w:color w:val="000000"/>
          <w:sz w:val="22"/>
          <w:szCs w:val="22"/>
          <w:lang w:val="es-ES_tradnl"/>
        </w:rPr>
      </w:r>
      <w:bookmarkEnd w:id="0"/>
    </w:p>
    <w:p>
      <w:pPr>
        <w:pStyle w:val="Normal"/>
        <w:spacing w:lineRule="auto" w:line="360"/>
        <w:jc w:val="both"/>
        <w:rPr>
          <w:rFonts w:ascii="Arial" w:hAnsi="Arial" w:cs="Arial"/>
          <w:color w:val="000000"/>
          <w:sz w:val="22"/>
          <w:szCs w:val="22"/>
          <w:lang w:val="es-ES"/>
        </w:rPr>
      </w:pPr>
      <w:r>
        <w:rPr>
          <w:rFonts w:cs="Arial" w:ascii="Arial" w:hAnsi="Arial"/>
          <w:color w:val="000000"/>
          <w:sz w:val="22"/>
          <w:szCs w:val="22"/>
          <w:lang w:val="es-ES"/>
        </w:rPr>
        <w:t>Las dos tiendas se encuentran en ubicaciones céntricas: la de Sant Hilari Sacalm, en la plaza del General Moragues, 1, y la de Amer, en la avenida de Barcelona, 4. La apuesta por el trato cercano y personalizado con el cliente seguirá siendo su seña de identidad, en línea con el modelo de comercio de proximidad de Valvi. Además, mantienen el servicio de entrega a domicilio para los vecinos de la zona.</w:t>
      </w:r>
    </w:p>
    <w:p>
      <w:pPr>
        <w:pStyle w:val="NormalWeb"/>
        <w:spacing w:lineRule="auto" w:line="360"/>
        <w:jc w:val="both"/>
        <w:rPr>
          <w:rFonts w:ascii="Arial" w:hAnsi="Arial" w:cs="Arial"/>
          <w:color w:val="000000"/>
          <w:sz w:val="22"/>
          <w:szCs w:val="22"/>
        </w:rPr>
      </w:pPr>
      <w:r>
        <w:rPr>
          <w:rFonts w:cs="Arial" w:ascii="Arial" w:hAnsi="Arial"/>
          <w:color w:val="000000"/>
          <w:sz w:val="22"/>
          <w:szCs w:val="22"/>
        </w:rPr>
        <w:t>Con una superficie de venta de 250 m² y una plantilla de cinco personas cada uno, los supermercados ofrecen una amplia selección de productos de alimentación, entre los que destacan más de 3.000 referencias de origen Catalunya. Su oferta se completa con secciones de frutería y panadería de libre servicio y una variada selección de vinos catalanes, cavas y licores de la Vinoteca VNTC Valvi.</w:t>
      </w:r>
    </w:p>
    <w:p>
      <w:pPr>
        <w:pStyle w:val="NormalWeb"/>
        <w:spacing w:lineRule="auto" w:line="360"/>
        <w:jc w:val="both"/>
        <w:rPr>
          <w:rFonts w:ascii="Arial" w:hAnsi="Arial" w:cs="Arial"/>
          <w:color w:val="000000"/>
          <w:sz w:val="22"/>
          <w:szCs w:val="22"/>
        </w:rPr>
      </w:pPr>
      <w:r>
        <w:rPr>
          <w:rFonts w:cs="Arial" w:ascii="Arial" w:hAnsi="Arial"/>
          <w:color w:val="000000"/>
          <w:sz w:val="22"/>
          <w:szCs w:val="22"/>
        </w:rPr>
        <w:t>Valvi Supermercats tiene como proveedor a Transgourmet Ibérica, compañía líder en España en el sector de la distribución alimentaria mayorista.</w:t>
      </w:r>
    </w:p>
    <w:p>
      <w:pPr>
        <w:pStyle w:val="NormalWeb"/>
        <w:spacing w:lineRule="auto" w:line="360" w:before="0" w:after="0"/>
        <w:jc w:val="both"/>
        <w:rPr>
          <w:rFonts w:ascii="Arial" w:hAnsi="Arial" w:cs="Arial"/>
          <w:color w:val="000000"/>
          <w:sz w:val="22"/>
          <w:szCs w:val="22"/>
        </w:rPr>
      </w:pPr>
      <w:r>
        <w:rPr>
          <w:rFonts w:cs="Arial" w:ascii="Arial" w:hAnsi="Arial"/>
          <w:b/>
          <w:bCs/>
          <w:color w:val="000000"/>
          <w:sz w:val="22"/>
          <w:szCs w:val="22"/>
        </w:rPr>
        <w:t>SOBRE VALVI SUPERMERCATS</w:t>
      </w:r>
    </w:p>
    <w:p>
      <w:pPr>
        <w:pStyle w:val="NormalWeb"/>
        <w:spacing w:lineRule="auto" w:line="360" w:before="0" w:after="0"/>
        <w:jc w:val="both"/>
        <w:rPr/>
      </w:pPr>
      <w:r>
        <w:rPr>
          <w:rFonts w:cs="Arial" w:ascii="Arial" w:hAnsi="Arial"/>
          <w:color w:val="000000"/>
          <w:sz w:val="22"/>
          <w:szCs w:val="22"/>
        </w:rPr>
        <w:t>Valvi Supermercats es una compañía especializada en supermercados de proximidad. Es de capital familiar 100 % gerundense y la primera red de supermercados independientes de la provincia de Girona. Participa al 50 % en la sociedad Miservi, compartida con Transgourmet Ibérica.</w:t>
      </w:r>
    </w:p>
    <w:p>
      <w:pPr>
        <w:pStyle w:val="NormalWeb"/>
        <w:spacing w:lineRule="auto" w:line="360" w:before="0" w:after="0"/>
        <w:jc w:val="both"/>
        <w:rPr>
          <w:rFonts w:ascii="Arial" w:hAnsi="Arial" w:cs="Arial"/>
          <w:color w:val="000000"/>
          <w:sz w:val="22"/>
          <w:szCs w:val="22"/>
        </w:rPr>
      </w:pPr>
      <w:r>
        <w:rPr>
          <w:rFonts w:cs="Arial" w:ascii="Arial" w:hAnsi="Arial"/>
          <w:color w:val="000000"/>
          <w:sz w:val="22"/>
          <w:szCs w:val="22"/>
        </w:rPr>
      </w:r>
    </w:p>
    <w:p>
      <w:pPr>
        <w:pStyle w:val="NormalWeb"/>
        <w:spacing w:lineRule="auto" w:line="360"/>
        <w:jc w:val="both"/>
        <w:rPr>
          <w:rFonts w:ascii="Arial" w:hAnsi="Arial" w:cs="Arial"/>
          <w:color w:val="000000"/>
          <w:sz w:val="22"/>
          <w:szCs w:val="22"/>
        </w:rPr>
      </w:pPr>
      <w:r>
        <w:rPr>
          <w:rFonts w:cs="Arial" w:ascii="Arial" w:hAnsi="Arial"/>
          <w:color w:val="000000"/>
          <w:sz w:val="22"/>
          <w:szCs w:val="22"/>
        </w:rPr>
      </w:r>
    </w:p>
    <w:p>
      <w:pPr>
        <w:pStyle w:val="NormalWeb"/>
        <w:spacing w:lineRule="auto" w:line="360"/>
        <w:jc w:val="both"/>
        <w:rPr>
          <w:rFonts w:ascii="Arial" w:hAnsi="Arial" w:cs="Arial"/>
          <w:color w:val="000000"/>
          <w:sz w:val="22"/>
          <w:szCs w:val="22"/>
        </w:rPr>
      </w:pPr>
      <w:r>
        <w:rPr>
          <w:rFonts w:cs="Arial" w:ascii="Arial" w:hAnsi="Arial"/>
          <w:color w:val="000000"/>
          <w:sz w:val="22"/>
          <w:szCs w:val="22"/>
        </w:rPr>
      </w:r>
    </w:p>
    <w:p>
      <w:pPr>
        <w:pStyle w:val="NormalWeb"/>
        <w:spacing w:lineRule="auto" w:line="360"/>
        <w:jc w:val="both"/>
        <w:rPr>
          <w:rFonts w:ascii="Arial" w:hAnsi="Arial" w:cs="Arial"/>
          <w:color w:val="000000"/>
          <w:sz w:val="22"/>
          <w:szCs w:val="22"/>
        </w:rPr>
      </w:pPr>
      <w:r>
        <w:rPr>
          <w:rFonts w:cs="Arial" w:ascii="Arial" w:hAnsi="Arial"/>
          <w:color w:val="000000"/>
          <w:sz w:val="22"/>
          <w:szCs w:val="22"/>
        </w:rPr>
      </w:r>
    </w:p>
    <w:p>
      <w:pPr>
        <w:pStyle w:val="NormalWeb"/>
        <w:spacing w:lineRule="auto" w:line="360"/>
        <w:jc w:val="both"/>
        <w:rPr/>
      </w:pPr>
      <w:r>
        <w:rPr>
          <w:rFonts w:cs="Arial" w:ascii="Arial" w:hAnsi="Arial"/>
          <w:color w:val="000000"/>
          <w:sz w:val="22"/>
          <w:szCs w:val="22"/>
        </w:rPr>
        <w:t>Actualmente,</w:t>
      </w:r>
      <w:r>
        <w:rPr>
          <w:rFonts w:cs="Arial" w:ascii="Arial" w:hAnsi="Arial"/>
          <w:sz w:val="22"/>
          <w:szCs w:val="22"/>
        </w:rPr>
        <w:t> </w:t>
      </w:r>
      <w:r>
        <w:rPr>
          <w:rFonts w:cs="Arial" w:ascii="Arial" w:hAnsi="Arial"/>
          <w:color w:val="000000"/>
          <w:sz w:val="22"/>
          <w:szCs w:val="22"/>
        </w:rPr>
        <w:t>gestionan</w:t>
      </w:r>
      <w:r>
        <w:rPr>
          <w:rFonts w:cs="Arial" w:ascii="Arial" w:hAnsi="Arial"/>
          <w:sz w:val="22"/>
          <w:szCs w:val="22"/>
        </w:rPr>
        <w:t> </w:t>
      </w:r>
      <w:r>
        <w:rPr>
          <w:rFonts w:cs="Arial" w:ascii="Arial" w:hAnsi="Arial"/>
          <w:color w:val="000000"/>
          <w:sz w:val="22"/>
          <w:szCs w:val="22"/>
        </w:rPr>
        <w:t>un</w:t>
      </w:r>
      <w:r>
        <w:rPr>
          <w:rFonts w:cs="Arial" w:ascii="Arial" w:hAnsi="Arial"/>
          <w:sz w:val="22"/>
          <w:szCs w:val="22"/>
        </w:rPr>
        <w:t> </w:t>
      </w:r>
      <w:r>
        <w:rPr>
          <w:rFonts w:cs="Arial" w:ascii="Arial" w:hAnsi="Arial"/>
          <w:color w:val="000000"/>
          <w:sz w:val="22"/>
          <w:szCs w:val="22"/>
        </w:rPr>
        <w:t>total</w:t>
      </w:r>
      <w:r>
        <w:rPr>
          <w:rFonts w:cs="Arial" w:ascii="Arial" w:hAnsi="Arial"/>
          <w:sz w:val="22"/>
          <w:szCs w:val="22"/>
        </w:rPr>
        <w:t> </w:t>
      </w:r>
      <w:r>
        <w:rPr>
          <w:rFonts w:cs="Arial" w:ascii="Arial" w:hAnsi="Arial"/>
          <w:color w:val="000000"/>
          <w:sz w:val="22"/>
          <w:szCs w:val="22"/>
        </w:rPr>
        <w:t>de</w:t>
      </w:r>
      <w:r>
        <w:rPr>
          <w:rFonts w:cs="Arial" w:ascii="Arial" w:hAnsi="Arial"/>
          <w:sz w:val="22"/>
          <w:szCs w:val="22"/>
        </w:rPr>
        <w:t> </w:t>
      </w:r>
      <w:r>
        <w:rPr>
          <w:rFonts w:cs="Arial" w:ascii="Arial" w:hAnsi="Arial"/>
          <w:color w:val="000000"/>
          <w:sz w:val="22"/>
          <w:szCs w:val="22"/>
        </w:rPr>
        <w:t>117</w:t>
      </w:r>
      <w:r>
        <w:rPr>
          <w:rFonts w:cs="Arial" w:ascii="Arial" w:hAnsi="Arial"/>
          <w:sz w:val="22"/>
          <w:szCs w:val="22"/>
        </w:rPr>
        <w:t> </w:t>
      </w:r>
      <w:r>
        <w:rPr>
          <w:rFonts w:cs="Arial" w:ascii="Arial" w:hAnsi="Arial"/>
          <w:color w:val="000000"/>
          <w:sz w:val="22"/>
          <w:szCs w:val="22"/>
        </w:rPr>
        <w:t>supermercados</w:t>
      </w:r>
      <w:r>
        <w:rPr>
          <w:rFonts w:cs="Arial" w:ascii="Arial" w:hAnsi="Arial"/>
          <w:sz w:val="22"/>
          <w:szCs w:val="22"/>
        </w:rPr>
        <w:t> </w:t>
      </w:r>
      <w:r>
        <w:rPr>
          <w:rFonts w:cs="Arial" w:ascii="Arial" w:hAnsi="Arial"/>
          <w:color w:val="000000"/>
          <w:sz w:val="22"/>
          <w:szCs w:val="22"/>
        </w:rPr>
        <w:t>en</w:t>
      </w:r>
      <w:r>
        <w:rPr>
          <w:rFonts w:cs="Arial" w:ascii="Arial" w:hAnsi="Arial"/>
          <w:sz w:val="22"/>
          <w:szCs w:val="22"/>
        </w:rPr>
        <w:t> </w:t>
      </w:r>
      <w:r>
        <w:rPr>
          <w:rFonts w:cs="Arial" w:ascii="Arial" w:hAnsi="Arial"/>
          <w:color w:val="000000"/>
          <w:sz w:val="22"/>
          <w:szCs w:val="22"/>
        </w:rPr>
        <w:t>Catalunya,</w:t>
      </w:r>
      <w:r>
        <w:rPr>
          <w:rFonts w:cs="Arial" w:ascii="Arial" w:hAnsi="Arial"/>
          <w:sz w:val="22"/>
          <w:szCs w:val="22"/>
        </w:rPr>
        <w:t> </w:t>
      </w:r>
      <w:r>
        <w:rPr>
          <w:rFonts w:cs="Arial" w:ascii="Arial" w:hAnsi="Arial"/>
          <w:color w:val="000000"/>
          <w:sz w:val="22"/>
          <w:szCs w:val="22"/>
        </w:rPr>
        <w:t>de</w:t>
      </w:r>
      <w:r>
        <w:rPr>
          <w:rFonts w:cs="Arial" w:ascii="Arial" w:hAnsi="Arial"/>
          <w:sz w:val="22"/>
          <w:szCs w:val="22"/>
        </w:rPr>
        <w:t> </w:t>
      </w:r>
      <w:r>
        <w:rPr>
          <w:rFonts w:cs="Arial" w:ascii="Arial" w:hAnsi="Arial"/>
          <w:color w:val="000000"/>
          <w:sz w:val="22"/>
          <w:szCs w:val="22"/>
        </w:rPr>
        <w:t>los</w:t>
      </w:r>
      <w:r>
        <w:rPr>
          <w:rFonts w:cs="Arial" w:ascii="Arial" w:hAnsi="Arial"/>
          <w:sz w:val="22"/>
          <w:szCs w:val="22"/>
        </w:rPr>
        <w:t> </w:t>
      </w:r>
      <w:r>
        <w:rPr>
          <w:rFonts w:cs="Arial" w:ascii="Arial" w:hAnsi="Arial"/>
          <w:color w:val="000000"/>
          <w:sz w:val="22"/>
          <w:szCs w:val="22"/>
        </w:rPr>
        <w:t>cuales</w:t>
      </w:r>
      <w:r>
        <w:rPr>
          <w:rFonts w:cs="Arial" w:ascii="Arial" w:hAnsi="Arial"/>
          <w:sz w:val="22"/>
          <w:szCs w:val="22"/>
        </w:rPr>
        <w:t> </w:t>
      </w:r>
      <w:r>
        <w:rPr>
          <w:rFonts w:cs="Arial" w:ascii="Arial" w:hAnsi="Arial"/>
          <w:color w:val="000000"/>
          <w:sz w:val="22"/>
          <w:szCs w:val="22"/>
        </w:rPr>
        <w:t>73</w:t>
      </w:r>
      <w:r>
        <w:rPr>
          <w:rFonts w:cs="Arial" w:ascii="Arial" w:hAnsi="Arial"/>
          <w:sz w:val="22"/>
          <w:szCs w:val="22"/>
        </w:rPr>
        <w:t xml:space="preserve"> pertenecen </w:t>
      </w:r>
      <w:r>
        <w:rPr>
          <w:rFonts w:cs="Arial" w:ascii="Arial" w:hAnsi="Arial"/>
          <w:color w:val="121212"/>
          <w:sz w:val="22"/>
          <w:szCs w:val="22"/>
        </w:rPr>
        <w:t xml:space="preserve">a Valvi y 44 a Miservi. </w:t>
      </w:r>
    </w:p>
    <w:p>
      <w:pPr>
        <w:pStyle w:val="NormalWeb"/>
        <w:spacing w:lineRule="auto" w:line="360"/>
        <w:jc w:val="both"/>
        <w:rPr/>
      </w:pPr>
      <w:r>
        <w:rPr>
          <w:rFonts w:cs="Arial" w:ascii="Arial" w:hAnsi="Arial"/>
          <w:color w:val="121212"/>
          <w:sz w:val="22"/>
          <w:szCs w:val="22"/>
        </w:rPr>
        <w:t>Bajo las enseñas Spar, Eurospar y Valvi, estos establecimientos están ubicados en la provincia de Girona, Barcelona ciudad y su área metropolitana, así como en las comarcas del Maresme y Osona.</w:t>
      </w:r>
    </w:p>
    <w:p>
      <w:pPr>
        <w:pStyle w:val="Normal"/>
        <w:spacing w:lineRule="auto" w:line="360"/>
        <w:jc w:val="both"/>
        <w:rPr/>
      </w:pPr>
      <w:r>
        <w:rPr>
          <w:rFonts w:cs="Arial" w:ascii="Arial" w:hAnsi="Arial"/>
          <w:b/>
          <w:color w:val="000000"/>
          <w:sz w:val="22"/>
          <w:szCs w:val="22"/>
        </w:rPr>
        <w:t>SOBRE TRANSGOURMET IBÉRICA</w:t>
      </w:r>
    </w:p>
    <w:p>
      <w:pPr>
        <w:pStyle w:val="Normal"/>
        <w:spacing w:lineRule="auto" w:line="360"/>
        <w:jc w:val="both"/>
        <w:rPr/>
      </w:pPr>
      <w:r>
        <w:rPr>
          <w:rFonts w:cs="Arial" w:ascii="Arial" w:hAnsi="Arial"/>
          <w:color w:val="121212"/>
          <w:sz w:val="22"/>
          <w:szCs w:val="22"/>
          <w:lang w:val="es-ES"/>
        </w:rPr>
        <w:t xml:space="preserve">Transgourmet Ibérica es propiedad del grupo suizo Transgourmet, la segunda empresa de distribución mayorista de Europa, que pertenece, a su vez, al grupo Coop. Actualmente cuenta </w:t>
      </w:r>
      <w:r>
        <w:rPr>
          <w:rFonts w:cs="Arial" w:ascii="Arial" w:hAnsi="Arial"/>
          <w:sz w:val="22"/>
          <w:szCs w:val="22"/>
          <w:lang w:val="es-ES"/>
        </w:rPr>
        <w:t>con 7 plataformas de distribución</w:t>
      </w:r>
      <w:r>
        <w:rPr>
          <w:rFonts w:cs="Arial" w:ascii="Arial" w:hAnsi="Arial"/>
          <w:color w:val="121212"/>
          <w:sz w:val="22"/>
          <w:szCs w:val="22"/>
          <w:lang w:val="es-ES"/>
        </w:rPr>
        <w:t xml:space="preserve"> repartidas por toda España y es referente en el sector de </w:t>
      </w:r>
      <w:r>
        <w:rPr>
          <w:rFonts w:cs="Arial" w:ascii="Arial" w:hAnsi="Arial"/>
          <w:i/>
          <w:iCs/>
          <w:color w:val="121212"/>
          <w:sz w:val="22"/>
          <w:szCs w:val="22"/>
          <w:lang w:val="es-ES"/>
        </w:rPr>
        <w:t>retail,</w:t>
      </w:r>
      <w:r>
        <w:rPr>
          <w:rFonts w:cs="Arial" w:ascii="Arial" w:hAnsi="Arial"/>
          <w:color w:val="121212"/>
          <w:sz w:val="22"/>
          <w:szCs w:val="22"/>
          <w:lang w:val="es-ES"/>
        </w:rPr>
        <w:t xml:space="preserve"> con más de 700 supermercados bajo las enseñas Suma, Proxim, Spar y Kuups, y más de 2.500 </w:t>
      </w:r>
      <w:r>
        <w:rPr>
          <w:rFonts w:cs="Arial" w:ascii="Arial" w:hAnsi="Arial"/>
          <w:bCs/>
          <w:color w:val="000000"/>
          <w:sz w:val="22"/>
          <w:szCs w:val="22"/>
          <w:lang w:val="es-ES"/>
        </w:rPr>
        <w:t>clientes independientes.</w:t>
      </w:r>
    </w:p>
    <w:p>
      <w:pPr>
        <w:pStyle w:val="NormalWeb"/>
        <w:spacing w:lineRule="auto" w:line="360" w:before="0" w:after="0"/>
        <w:jc w:val="both"/>
        <w:rPr>
          <w:rFonts w:ascii="Arial" w:hAnsi="Arial" w:cs="Arial"/>
          <w:bCs/>
          <w:color w:val="000000"/>
          <w:sz w:val="22"/>
          <w:szCs w:val="22"/>
          <w:lang w:val="es-ES"/>
        </w:rPr>
      </w:pPr>
      <w:r>
        <w:rPr>
          <w:rFonts w:cs="Arial" w:ascii="Arial" w:hAnsi="Arial"/>
          <w:bCs/>
          <w:color w:val="000000"/>
          <w:sz w:val="22"/>
          <w:szCs w:val="22"/>
          <w:lang w:val="es-ES"/>
        </w:rPr>
      </w:r>
    </w:p>
    <w:p>
      <w:pPr>
        <w:pStyle w:val="NormalWeb"/>
        <w:spacing w:lineRule="auto" w:line="360" w:before="0" w:after="0"/>
        <w:jc w:val="both"/>
        <w:rPr>
          <w:rFonts w:ascii="Arial" w:hAnsi="Arial" w:cs="Arial"/>
          <w:color w:val="121212"/>
          <w:sz w:val="22"/>
          <w:szCs w:val="22"/>
        </w:rPr>
      </w:pPr>
      <w:r>
        <w:rPr>
          <w:rFonts w:cs="Arial" w:ascii="Arial" w:hAnsi="Arial"/>
          <w:bCs/>
          <w:color w:val="000000"/>
          <w:sz w:val="22"/>
          <w:szCs w:val="22"/>
        </w:rPr>
        <w:t>Asimismo, la empresa cuenta con su línea de servicio</w:t>
      </w:r>
      <w:r>
        <w:rPr>
          <w:rFonts w:cs="Arial" w:ascii="Arial" w:hAnsi="Arial"/>
          <w:color w:val="121212"/>
          <w:sz w:val="22"/>
          <w:szCs w:val="22"/>
        </w:rPr>
        <w:t xml:space="preserve"> a la hostelería compuesta por        74 centros </w:t>
      </w:r>
      <w:r>
        <w:rPr>
          <w:rFonts w:cs="Arial" w:ascii="Arial" w:hAnsi="Arial"/>
          <w:i/>
          <w:iCs/>
          <w:color w:val="121212"/>
          <w:sz w:val="22"/>
          <w:szCs w:val="22"/>
        </w:rPr>
        <w:t>cash&amp;carry</w:t>
      </w:r>
      <w:r>
        <w:rPr>
          <w:rFonts w:cs="Arial" w:ascii="Arial" w:hAnsi="Arial"/>
          <w:color w:val="121212"/>
          <w:sz w:val="22"/>
          <w:szCs w:val="22"/>
        </w:rPr>
        <w:t xml:space="preserve"> y 29 gasolineras GM Oil, y una red formada por 400 comerciales de </w:t>
      </w:r>
      <w:r>
        <w:rPr>
          <w:rFonts w:cs="Arial" w:ascii="Arial" w:hAnsi="Arial"/>
          <w:i/>
          <w:iCs/>
          <w:color w:val="121212"/>
          <w:sz w:val="22"/>
          <w:szCs w:val="22"/>
        </w:rPr>
        <w:t>food service</w:t>
      </w:r>
      <w:r>
        <w:rPr>
          <w:rFonts w:cs="Arial" w:ascii="Arial" w:hAnsi="Arial"/>
          <w:color w:val="121212"/>
          <w:sz w:val="22"/>
          <w:szCs w:val="22"/>
        </w:rPr>
        <w:t> y una flota que supera los 300 vehículos para el servicio de reparto.</w:t>
      </w:r>
    </w:p>
    <w:p>
      <w:pPr>
        <w:pStyle w:val="NormalWeb"/>
        <w:spacing w:lineRule="auto" w:line="360" w:before="0" w:after="0"/>
        <w:jc w:val="both"/>
        <w:rPr>
          <w:rFonts w:ascii="Arial" w:hAnsi="Arial" w:cs="Arial"/>
          <w:color w:val="121212"/>
          <w:sz w:val="22"/>
          <w:szCs w:val="22"/>
        </w:rPr>
      </w:pPr>
      <w:r>
        <w:rPr>
          <w:rFonts w:cs="Arial" w:ascii="Arial" w:hAnsi="Arial"/>
          <w:color w:val="121212"/>
          <w:sz w:val="22"/>
          <w:szCs w:val="22"/>
        </w:rPr>
      </w:r>
    </w:p>
    <w:p>
      <w:pPr>
        <w:pStyle w:val="Normal"/>
        <w:spacing w:lineRule="auto" w:line="360"/>
        <w:jc w:val="both"/>
        <w:rPr>
          <w:rFonts w:ascii="Arial" w:hAnsi="Arial" w:cs="Arial"/>
          <w:b/>
          <w:sz w:val="21"/>
          <w:szCs w:val="21"/>
          <w:lang w:val="es-ES"/>
        </w:rPr>
      </w:pPr>
      <w:r>
        <w:rPr>
          <w:rFonts w:cs="Arial" w:ascii="Arial" w:hAnsi="Arial"/>
          <w:b/>
          <w:sz w:val="21"/>
          <w:szCs w:val="21"/>
          <w:lang w:val="es-ES"/>
        </w:rPr>
        <w:t>Para más información:</w:t>
      </w:r>
    </w:p>
    <w:p>
      <w:pPr>
        <w:pStyle w:val="Normal"/>
        <w:spacing w:lineRule="auto" w:line="360"/>
        <w:jc w:val="both"/>
        <w:rPr>
          <w:rFonts w:ascii="Arial" w:hAnsi="Arial" w:cs="Arial"/>
          <w:sz w:val="21"/>
          <w:szCs w:val="21"/>
        </w:rPr>
      </w:pPr>
      <w:r>
        <w:rPr>
          <w:rFonts w:cs="Arial" w:ascii="Arial" w:hAnsi="Arial"/>
          <w:sz w:val="21"/>
          <w:szCs w:val="21"/>
        </w:rPr>
        <w:t xml:space="preserve">Silvia Egea / Susana Moreno </w:t>
      </w:r>
    </w:p>
    <w:p>
      <w:pPr>
        <w:pStyle w:val="Normal"/>
        <w:spacing w:lineRule="auto" w:line="360"/>
        <w:jc w:val="both"/>
        <w:rPr>
          <w:rFonts w:ascii="Arial" w:hAnsi="Arial" w:cs="Arial"/>
          <w:sz w:val="21"/>
          <w:szCs w:val="21"/>
          <w:lang w:val="pt-PT"/>
        </w:rPr>
      </w:pPr>
      <w:r>
        <w:rPr>
          <w:rFonts w:cs="Arial" w:ascii="Arial" w:hAnsi="Arial"/>
          <w:sz w:val="21"/>
          <w:szCs w:val="21"/>
          <w:lang w:val="pt-PT"/>
        </w:rPr>
        <w:t>Teléfono: +34 676 91 23 39 / +34 607 69 47 60</w:t>
      </w:r>
    </w:p>
    <w:p>
      <w:pPr>
        <w:pStyle w:val="Normal"/>
        <w:rPr>
          <w:rFonts w:ascii="Arial" w:hAnsi="Arial" w:cs="Arial"/>
          <w:color w:val="000000"/>
          <w:sz w:val="21"/>
          <w:szCs w:val="21"/>
          <w:lang w:val="pt-PT" w:eastAsia="en-US"/>
        </w:rPr>
      </w:pPr>
      <w:r>
        <w:rPr>
          <w:rFonts w:cs="Arial" w:ascii="Arial" w:hAnsi="Arial"/>
          <w:sz w:val="21"/>
          <w:szCs w:val="21"/>
          <w:lang w:val="pt-PT"/>
        </w:rPr>
        <w:t xml:space="preserve">E-mail: </w:t>
      </w:r>
      <w:hyperlink r:id="rId2">
        <w:r>
          <w:rPr>
            <w:rStyle w:val="Hyperlink"/>
            <w:rFonts w:cs="Arial" w:ascii="Arial" w:hAnsi="Arial"/>
            <w:sz w:val="21"/>
            <w:szCs w:val="21"/>
            <w:lang w:val="pt-PT"/>
          </w:rPr>
          <w:t>silvia.egea@corpocomunicacion.com</w:t>
        </w:r>
      </w:hyperlink>
      <w:r>
        <w:rPr>
          <w:rFonts w:cs="Arial" w:ascii="Arial" w:hAnsi="Arial"/>
          <w:sz w:val="21"/>
          <w:szCs w:val="21"/>
          <w:lang w:val="pt-PT"/>
        </w:rPr>
        <w:t xml:space="preserve"> / </w:t>
      </w:r>
      <w:hyperlink r:id="rId3">
        <w:r>
          <w:rPr>
            <w:rStyle w:val="Hyperlink"/>
            <w:rFonts w:cs="Arial" w:ascii="Arial" w:hAnsi="Arial"/>
            <w:sz w:val="21"/>
            <w:szCs w:val="21"/>
            <w:lang w:val="pt-PT"/>
          </w:rPr>
          <w:t>susana.moreno@corpocomunicacion.com</w:t>
        </w:r>
      </w:hyperlink>
    </w:p>
    <w:p>
      <w:pPr>
        <w:pStyle w:val="Normal"/>
        <w:spacing w:lineRule="auto" w:line="360" w:before="280" w:after="280"/>
        <w:jc w:val="both"/>
        <w:rPr>
          <w:rFonts w:ascii="Arial" w:hAnsi="Arial" w:cs="Arial"/>
          <w:b/>
          <w:color w:val="000000"/>
          <w:sz w:val="21"/>
          <w:szCs w:val="21"/>
          <w:lang w:val="pt-PT" w:eastAsia="en-US"/>
        </w:rPr>
      </w:pPr>
      <w:r>
        <w:rPr>
          <w:rFonts w:cs="Arial" w:ascii="Arial" w:hAnsi="Arial"/>
          <w:b/>
          <w:color w:val="000000"/>
          <w:sz w:val="21"/>
          <w:szCs w:val="21"/>
          <w:lang w:val="pt-PT" w:eastAsia="en-US"/>
        </w:rPr>
      </w:r>
    </w:p>
    <w:p>
      <w:pPr>
        <w:pStyle w:val="NormalWeb"/>
        <w:spacing w:lineRule="auto" w:line="360" w:before="0" w:after="0"/>
        <w:jc w:val="both"/>
        <w:rPr>
          <w:rFonts w:ascii="Arial" w:hAnsi="Arial" w:cs="Arial"/>
          <w:b/>
          <w:color w:val="121212"/>
          <w:sz w:val="22"/>
          <w:szCs w:val="22"/>
          <w:lang w:val="pt-PT"/>
        </w:rPr>
      </w:pPr>
      <w:r>
        <w:rPr>
          <w:rFonts w:cs="Arial" w:ascii="Arial" w:hAnsi="Arial"/>
          <w:b/>
          <w:color w:val="121212"/>
          <w:sz w:val="22"/>
          <w:szCs w:val="22"/>
          <w:lang w:val="pt-PT"/>
        </w:rPr>
      </w:r>
    </w:p>
    <w:p>
      <w:pPr>
        <w:pStyle w:val="Normal"/>
        <w:spacing w:lineRule="auto" w:line="360"/>
        <w:jc w:val="both"/>
        <w:rPr>
          <w:rFonts w:ascii="Arial" w:hAnsi="Arial" w:cs="Arial"/>
          <w:b/>
          <w:color w:val="121212"/>
          <w:sz w:val="20"/>
          <w:szCs w:val="20"/>
          <w:lang w:val="pt-PT"/>
        </w:rPr>
      </w:pPr>
      <w:r>
        <w:rPr>
          <w:rFonts w:cs="Arial" w:ascii="Arial" w:hAnsi="Arial"/>
          <w:b/>
          <w:color w:val="121212"/>
          <w:sz w:val="20"/>
          <w:szCs w:val="20"/>
          <w:lang w:val="pt-PT"/>
        </w:rPr>
      </w:r>
    </w:p>
    <w:p>
      <w:pPr>
        <w:pStyle w:val="Normal"/>
        <w:rPr>
          <w:rFonts w:ascii="Arial" w:hAnsi="Arial" w:cs="Arial"/>
          <w:b/>
          <w:color w:val="000000"/>
          <w:sz w:val="20"/>
          <w:szCs w:val="20"/>
          <w:lang w:val="pt-PT"/>
        </w:rPr>
      </w:pPr>
      <w:r>
        <w:rPr>
          <w:rFonts w:cs="Arial" w:ascii="Arial" w:hAnsi="Arial"/>
          <w:b/>
          <w:color w:val="000000"/>
          <w:sz w:val="20"/>
          <w:szCs w:val="20"/>
          <w:lang w:val="pt-PT"/>
        </w:rPr>
      </w:r>
    </w:p>
    <w:p>
      <w:pPr>
        <w:pStyle w:val="Normal"/>
        <w:spacing w:lineRule="auto" w:line="360"/>
        <w:jc w:val="both"/>
        <w:rPr>
          <w:rFonts w:ascii="Arial" w:hAnsi="Arial" w:cs="Arial"/>
          <w:color w:val="000000"/>
          <w:lang w:val="pt-PT"/>
        </w:rPr>
      </w:pPr>
      <w:r>
        <w:rPr>
          <w:rFonts w:cs="Arial" w:ascii="Arial" w:hAnsi="Arial"/>
          <w:color w:val="000000"/>
          <w:lang w:val="pt-PT"/>
        </w:rPr>
      </w:r>
    </w:p>
    <w:sectPr>
      <w:headerReference w:type="default" r:id="rId4"/>
      <w:type w:val="nextPage"/>
      <w:pgSz w:w="11906" w:h="16838"/>
      <w:pgMar w:left="1701" w:right="1276" w:gutter="0" w:header="709" w:top="765"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Symbol">
    <w:charset w:val="02"/>
    <w:family w:val="decorative"/>
    <w:pitch w:val="variable"/>
  </w:font>
  <w:font w:name="Courier New">
    <w:charset w:val="00" w:characterSet="windows-1252"/>
    <w:family w:val="modern"/>
    <w:pitch w:val="default"/>
  </w:font>
  <w:font w:name="Wingdings">
    <w:charset w:val="00" w:characterSet="windows-1252"/>
    <w:family w:val="decorative"/>
    <w:pitch w:val="variable"/>
  </w:font>
  <w:font w:name="Liberation Sans">
    <w:altName w:val="Arial"/>
    <w:charset w:val="01" w:characterSet="utf-8"/>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lang w:val="en-US" w:eastAsia="en-US"/>
      </w:rPr>
    </w:pPr>
    <w:r>
      <w:rPr>
        <w:lang w:val="en-US" w:eastAsia="en-US"/>
      </w:rPr>
      <w:drawing>
        <wp:inline distT="0" distB="0" distL="0" distR="0">
          <wp:extent cx="1249680" cy="497205"/>
          <wp:effectExtent l="0" t="0" r="0" b="0"/>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1"/>
                  <a:srcRect l="-10" t="-25" r="-10" b="-25"/>
                  <a:stretch>
                    <a:fillRect/>
                  </a:stretch>
                </pic:blipFill>
                <pic:spPr bwMode="auto">
                  <a:xfrm>
                    <a:off x="0" y="0"/>
                    <a:ext cx="1249680" cy="497205"/>
                  </a:xfrm>
                  <a:prstGeom prst="rect">
                    <a:avLst/>
                  </a:prstGeom>
                </pic:spPr>
              </pic:pic>
            </a:graphicData>
          </a:graphic>
        </wp:inline>
      </w:drawing>
      <w:drawing>
        <wp:anchor behindDoc="0" distT="0" distB="0" distL="114935" distR="114935" simplePos="0" locked="0" layoutInCell="0" allowOverlap="1" relativeHeight="5">
          <wp:simplePos x="0" y="0"/>
          <wp:positionH relativeFrom="column">
            <wp:posOffset>0</wp:posOffset>
          </wp:positionH>
          <wp:positionV relativeFrom="paragraph">
            <wp:posOffset>174625</wp:posOffset>
          </wp:positionV>
          <wp:extent cx="1082675" cy="449580"/>
          <wp:effectExtent l="0" t="0" r="0" b="0"/>
          <wp:wrapSquare wrapText="left"/>
          <wp:docPr id="2" name="Imagen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 title=""/>
                  <pic:cNvPicPr>
                    <a:picLocks noChangeAspect="1" noChangeArrowheads="1"/>
                  </pic:cNvPicPr>
                </pic:nvPicPr>
                <pic:blipFill>
                  <a:blip r:embed="rId2"/>
                  <a:srcRect l="-42" t="-103" r="-42" b="-103"/>
                  <a:stretch>
                    <a:fillRect/>
                  </a:stretch>
                </pic:blipFill>
                <pic:spPr bwMode="auto">
                  <a:xfrm>
                    <a:off x="0" y="0"/>
                    <a:ext cx="1082675" cy="449580"/>
                  </a:xfrm>
                  <a:prstGeom prst="rect">
                    <a:avLst/>
                  </a:prstGeom>
                </pic:spPr>
              </pic:pic>
            </a:graphicData>
          </a:graphic>
        </wp:anchor>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55"/>
  <w:defaultTabStop w:val="708"/>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ca-ES" w:bidi="ar-SA" w:eastAsia="zh-CN"/>
    </w:rPr>
  </w:style>
  <w:style w:type="paragraph" w:styleId="Heading1">
    <w:name w:val="Heading 1"/>
    <w:basedOn w:val="Normal"/>
    <w:next w:val="BodyText"/>
    <w:qFormat/>
    <w:pPr>
      <w:numPr>
        <w:ilvl w:val="0"/>
        <w:numId w:val="1"/>
      </w:numPr>
      <w:spacing w:before="280" w:after="280"/>
      <w:outlineLvl w:val="0"/>
    </w:pPr>
    <w:rPr>
      <w:b/>
      <w:bCs/>
      <w:kern w:val="2"/>
      <w:sz w:val="48"/>
      <w:szCs w:val="48"/>
      <w:lang w:val="es-ES"/>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Fuentedeprrafopredeter">
    <w:name w:val="Fuente de párrafo predeter."/>
    <w:qFormat/>
    <w:rPr/>
  </w:style>
  <w:style w:type="character" w:styleId="Strong">
    <w:name w:val="Strong"/>
    <w:qFormat/>
    <w:rPr>
      <w:b/>
      <w:bCs/>
    </w:rPr>
  </w:style>
  <w:style w:type="character" w:styleId="apple-converted-space">
    <w:name w:val="apple-converted-space"/>
    <w:qFormat/>
    <w:rPr/>
  </w:style>
  <w:style w:type="character" w:styleId="HTMLconformatoprevioCar">
    <w:name w:val="HTML con formato previo Car"/>
    <w:qFormat/>
    <w:rPr>
      <w:rFonts w:ascii="Courier New" w:hAnsi="Courier New" w:cs="Courier New"/>
    </w:rPr>
  </w:style>
  <w:style w:type="character" w:styleId="y2iqfc">
    <w:name w:val="y2iqfc"/>
    <w:qFormat/>
    <w:rPr/>
  </w:style>
  <w:style w:type="character" w:styleId="Ttulo1Car">
    <w:name w:val="Título 1 Car"/>
    <w:qFormat/>
    <w:rPr>
      <w:b/>
      <w:bCs/>
      <w:kern w:val="2"/>
      <w:sz w:val="48"/>
      <w:szCs w:val="48"/>
    </w:rPr>
  </w:style>
  <w:style w:type="character" w:styleId="Emphasis">
    <w:name w:val="Emphasis"/>
    <w:qFormat/>
    <w:rPr>
      <w:i/>
      <w:iCs/>
    </w:rPr>
  </w:style>
  <w:style w:type="character" w:styleId="EncabezadoCar">
    <w:name w:val="Encabezado Car"/>
    <w:qFormat/>
    <w:rPr>
      <w:sz w:val="24"/>
      <w:szCs w:val="24"/>
    </w:rPr>
  </w:style>
  <w:style w:type="character" w:styleId="PiedepginaCar">
    <w:name w:val="Pie de página Car"/>
    <w:qFormat/>
    <w:rPr>
      <w:sz w:val="24"/>
      <w:szCs w:val="24"/>
    </w:rPr>
  </w:style>
  <w:style w:type="character" w:styleId="Hyperlink">
    <w:name w:val="Hyperlink"/>
    <w:rPr>
      <w:color w:val="0563C1"/>
      <w:u w:val="singl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istParagraph">
    <w:name w:val="List Paragraph"/>
    <w:basedOn w:val="Normal"/>
    <w:qFormat/>
    <w:pPr>
      <w:spacing w:before="0" w:after="0"/>
      <w:ind w:hanging="0" w:start="720" w:end="0"/>
      <w:contextualSpacing/>
    </w:pPr>
    <w:rPr/>
  </w:style>
  <w:style w:type="paragraph" w:styleId="NormalWeb">
    <w:name w:val="Normal (Web)"/>
    <w:basedOn w:val="Normal"/>
    <w:qFormat/>
    <w:pPr>
      <w:spacing w:before="280" w:after="280"/>
      <w:jc w:val="start"/>
    </w:pPr>
    <w:rPr>
      <w:rFonts w:ascii="Times New Roman" w:hAnsi="Times New Roman" w:eastAsia="Calibri" w:cs="Times New Roman"/>
      <w:sz w:val="24"/>
      <w:szCs w:val="24"/>
      <w:lang w:val="es-ES"/>
    </w:rPr>
  </w:style>
  <w:style w:type="paragraph" w:styleId="prrafobsico">
    <w:name w:val="prrafobsico"/>
    <w:basedOn w:val="Normal"/>
    <w:qFormat/>
    <w:pPr>
      <w:spacing w:before="280" w:after="280"/>
      <w:jc w:val="start"/>
    </w:pPr>
    <w:rPr>
      <w:rFonts w:ascii="Times New Roman" w:hAnsi="Times New Roman" w:cs="Times New Roman"/>
      <w:sz w:val="24"/>
      <w:szCs w:val="24"/>
      <w:lang w:val="es-ES_tradnl"/>
    </w:rPr>
  </w:style>
  <w:style w:type="paragraph" w:styleId="HTMLconformatoprevio">
    <w:name w:val="HTML con formato previo"/>
    <w:basedOn w:val="Normal"/>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lang w:val="es-ES"/>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419" w:leader="none"/>
        <w:tab w:val="right" w:pos="8838" w:leader="none"/>
      </w:tabs>
    </w:pPr>
    <w:rPr/>
  </w:style>
  <w:style w:type="paragraph" w:styleId="Footer">
    <w:name w:val="Footer"/>
    <w:basedOn w:val="Normal"/>
    <w:pPr>
      <w:tabs>
        <w:tab w:val="clear" w:pos="708"/>
        <w:tab w:val="center" w:pos="4419" w:leader="none"/>
        <w:tab w:val="right" w:pos="8838" w:leader="none"/>
      </w:tabs>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ilvia.egea@corpocomunicacion.com" TargetMode="External"/><Relationship Id="rId3" Type="http://schemas.openxmlformats.org/officeDocument/2006/relationships/hyperlink" Target="mailto:susana.moreno@corpocomunicacion.com" TargetMode="External"/><Relationship Id="rId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2026-10-19T16:25:00Z</dcterms:created>
  <dc:creator>jordi.mestre</dc:creator>
  <dc:description/>
  <cp:keywords/>
  <dc:language>en-US</dc:language>
  <cp:lastModifiedBy>SILVI EGEA BAS</cp:lastModifiedBy>
  <cp:lastPrinted>2017-12-14T17:43:00Z</cp:lastPrinted>
  <dcterms:modified xsi:type="dcterms:W3CDTF">2026-10-19T21:26:00Z</dcterms:modified>
  <cp:revision>7</cp:revision>
  <dc:subject/>
  <dc:title/>
</cp:coreProperties>
</file>