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</w:r>
    </w:p>
    <w:p>
      <w:pPr>
        <w:pStyle w:val="Normal"/>
        <w:spacing w:lineRule="auto" w:line="276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  <w:t>La apertura está prevista para antes del verano de 2027</w:t>
      </w:r>
    </w:p>
    <w:p>
      <w:pPr>
        <w:pStyle w:val="Normal"/>
        <w:spacing w:lineRule="auto" w:line="276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</w:r>
    </w:p>
    <w:p>
      <w:pPr>
        <w:pStyle w:val="Normal"/>
        <w:spacing w:lineRule="auto" w:line="312"/>
        <w:jc w:val="center"/>
        <w:rPr>
          <w:rFonts w:ascii="Arial" w:hAnsi="Arial" w:cs="Arial"/>
          <w:b/>
          <w:bCs/>
          <w:color w:val="000000"/>
          <w:sz w:val="28"/>
          <w:szCs w:val="28"/>
          <w:lang w:val="es-ES" w:eastAsia="es-ES"/>
        </w:rPr>
      </w:pPr>
      <w:r>
        <w:rPr>
          <w:rFonts w:cs="Arial" w:ascii="Arial" w:hAnsi="Arial"/>
          <w:b/>
          <w:bCs/>
          <w:color w:val="000000"/>
          <w:sz w:val="28"/>
          <w:szCs w:val="28"/>
          <w:lang w:val="es-ES" w:eastAsia="es-ES"/>
        </w:rPr>
      </w:r>
    </w:p>
    <w:p>
      <w:pPr>
        <w:pStyle w:val="Normal"/>
        <w:spacing w:lineRule="auto" w:line="312"/>
        <w:jc w:val="center"/>
        <w:rPr>
          <w:rFonts w:ascii="Arial" w:hAnsi="Arial" w:cs="Arial"/>
          <w:b/>
          <w:bCs/>
          <w:color w:val="000000"/>
          <w:sz w:val="28"/>
          <w:szCs w:val="28"/>
          <w:lang w:val="es-ES" w:eastAsia="es-ES"/>
        </w:rPr>
      </w:pPr>
      <w:r>
        <w:rPr>
          <w:rFonts w:cs="Arial" w:ascii="Arial" w:hAnsi="Arial"/>
          <w:b/>
          <w:bCs/>
          <w:color w:val="000000"/>
          <w:sz w:val="28"/>
          <w:szCs w:val="28"/>
          <w:lang w:val="es-ES" w:eastAsia="es-ES"/>
        </w:rPr>
        <w:t xml:space="preserve">Transgourmet abrirá su primer GM Cash en Fuerteventura </w:t>
      </w:r>
    </w:p>
    <w:p>
      <w:pPr>
        <w:pStyle w:val="Normal"/>
        <w:spacing w:lineRule="auto" w:line="312"/>
        <w:jc w:val="center"/>
        <w:rPr>
          <w:rFonts w:ascii="Arial" w:hAnsi="Arial" w:cs="Arial"/>
          <w:b/>
          <w:bCs/>
          <w:color w:val="000000"/>
          <w:sz w:val="28"/>
          <w:szCs w:val="28"/>
          <w:lang w:val="es-ES" w:eastAsia="es-ES"/>
        </w:rPr>
      </w:pPr>
      <w:r>
        <w:rPr>
          <w:rFonts w:cs="Arial" w:ascii="Arial" w:hAnsi="Arial"/>
          <w:b/>
          <w:bCs/>
          <w:color w:val="000000"/>
          <w:sz w:val="28"/>
          <w:szCs w:val="28"/>
          <w:lang w:val="es-ES" w:eastAsia="es-ES"/>
        </w:rPr>
        <w:t>con una inversión de 5,3 millones de euros</w:t>
      </w:r>
    </w:p>
    <w:p>
      <w:pPr>
        <w:pStyle w:val="Normal"/>
        <w:spacing w:lineRule="auto" w:line="312"/>
        <w:jc w:val="center"/>
        <w:rPr>
          <w:rFonts w:ascii="Arial" w:hAnsi="Arial" w:cs="Arial"/>
          <w:b/>
          <w:bCs/>
          <w:color w:val="000000"/>
          <w:sz w:val="28"/>
          <w:szCs w:val="28"/>
          <w:lang w:val="es-ES" w:eastAsia="es-ES"/>
        </w:rPr>
      </w:pPr>
      <w:r>
        <w:rPr>
          <w:rFonts w:cs="Arial" w:ascii="Arial" w:hAnsi="Arial"/>
          <w:b/>
          <w:bCs/>
          <w:color w:val="000000"/>
          <w:sz w:val="28"/>
          <w:szCs w:val="28"/>
          <w:lang w:val="es-ES" w:eastAsia="es-ES"/>
        </w:rPr>
      </w:r>
    </w:p>
    <w:p>
      <w:pPr>
        <w:pStyle w:val="Normal"/>
        <w:jc w:val="both"/>
        <w:rPr>
          <w:rFonts w:ascii="Arial" w:hAnsi="Arial" w:cs="Arial"/>
          <w:b/>
          <w:bCs/>
          <w:color w:val="000000"/>
          <w:sz w:val="22"/>
          <w:szCs w:val="22"/>
          <w:lang w:val="es-ES" w:eastAsia="es-ES"/>
        </w:rPr>
      </w:pPr>
      <w:r>
        <w:rPr>
          <w:rFonts w:cs="Arial" w:ascii="Arial" w:hAnsi="Arial"/>
          <w:b/>
          <w:bCs/>
          <w:color w:val="000000"/>
          <w:sz w:val="22"/>
          <w:szCs w:val="22"/>
          <w:lang w:val="es-ES" w:eastAsia="es-ES"/>
        </w:rPr>
      </w:r>
    </w:p>
    <w:p>
      <w:pPr>
        <w:pStyle w:val="Normal"/>
        <w:numPr>
          <w:ilvl w:val="0"/>
          <w:numId w:val="2"/>
        </w:numPr>
        <w:spacing w:lineRule="auto" w:line="360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  <w:t xml:space="preserve">Será el quinto </w:t>
      </w:r>
      <w:r>
        <w:rPr>
          <w:rFonts w:cs="Arial" w:ascii="Arial" w:hAnsi="Arial"/>
          <w:i/>
          <w:iCs/>
          <w:color w:val="000000"/>
          <w:sz w:val="22"/>
          <w:szCs w:val="22"/>
          <w:lang w:val="es-ES"/>
        </w:rPr>
        <w:t>cash&amp;carry</w:t>
      </w:r>
      <w:r>
        <w:rPr>
          <w:rFonts w:cs="Arial" w:ascii="Arial" w:hAnsi="Arial"/>
          <w:color w:val="000000"/>
          <w:sz w:val="22"/>
          <w:szCs w:val="22"/>
          <w:lang w:val="es-ES"/>
        </w:rPr>
        <w:t xml:space="preserve"> de la compañía en Canarias.</w:t>
      </w:r>
    </w:p>
    <w:p>
      <w:pPr>
        <w:pStyle w:val="Normal"/>
        <w:spacing w:lineRule="auto" w:line="360"/>
        <w:ind w:start="1440" w:end="0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b/>
          <w:bCs/>
          <w:color w:val="000000"/>
          <w:sz w:val="22"/>
          <w:szCs w:val="22"/>
          <w:lang w:val="es-ES"/>
        </w:rPr>
        <w:t>27 de octubre de 2026</w:t>
      </w:r>
      <w:r>
        <w:rPr>
          <w:rFonts w:cs="Arial" w:ascii="Arial" w:hAnsi="Arial"/>
          <w:color w:val="000000"/>
          <w:sz w:val="22"/>
          <w:szCs w:val="22"/>
          <w:lang w:val="es-ES"/>
        </w:rPr>
        <w:t xml:space="preserve">. Transgourmet Ibérica, dedicada a la distribución a la hostelería y a los supermercados de proximidad, reforzará su presencia en Canarias con la apertura de su primer </w:t>
      </w:r>
      <w:r>
        <w:rPr>
          <w:rFonts w:cs="Arial" w:ascii="Arial" w:hAnsi="Arial"/>
          <w:i/>
          <w:iCs/>
          <w:color w:val="000000"/>
          <w:sz w:val="22"/>
          <w:szCs w:val="22"/>
          <w:lang w:val="es-ES"/>
        </w:rPr>
        <w:t>cash&amp;carry</w:t>
      </w:r>
      <w:r>
        <w:rPr>
          <w:rFonts w:cs="Arial" w:ascii="Arial" w:hAnsi="Arial"/>
          <w:color w:val="000000"/>
          <w:sz w:val="22"/>
          <w:szCs w:val="22"/>
          <w:lang w:val="es-ES"/>
        </w:rPr>
        <w:t xml:space="preserve"> GM Cash en Fuerteventura. La compañía invertirá 5,3 millones de euros en este nuevo centro ya en construcción destinado a ofrecer servicio a los profesionales de la hostelería y cuya apertura está prevista para antes del verano de 2027.</w:t>
      </w:r>
    </w:p>
    <w:p>
      <w:pPr>
        <w:pStyle w:val="Normal"/>
        <w:spacing w:lineRule="auto" w:line="360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cs="Arial" w:ascii="Arial" w:hAnsi="Arial"/>
          <w:sz w:val="22"/>
          <w:szCs w:val="22"/>
          <w:lang w:val="es-ES"/>
        </w:rPr>
        <w:t xml:space="preserve">El nuevo GM Cash estará situado en Puerto del Rosario, sobre una parcela de más de 6.150 m², y contará con una superficie total de 3.480 m². De este espacio, cerca de     1.500 m² estarán destinados a la sala de ventas, diseñada para ofrecer una experiencia de compra cómoda y eficiente y con el producto como eje central. 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cs="Arial" w:ascii="Arial" w:hAnsi="Arial"/>
          <w:sz w:val="22"/>
          <w:szCs w:val="22"/>
          <w:lang w:val="es-ES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Uno de los principales atractivos del centro será su mercado de frescos, de 330 m², que reunirá una extensa oferta de carnicería, charcutería, frutería, quesos y lácteos, además de productos congelados. 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También dispondrá de una amplia bodega que incluirá una selección de referencias procedentes de denominaciones de origen locales, nacionales e internacionales. A esta oferta se sumará un extenso surtido de alimentación seca, pensado especialmente para responder a las necesidades de los profesionales de la hostelería y la restauración de la isla, con una gran variedad de productos y formatos adaptados a su actividad.</w:t>
      </w:r>
    </w:p>
    <w:p>
      <w:pPr>
        <w:pStyle w:val="Normal"/>
        <w:spacing w:lineRule="auto" w:line="360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  <w:t xml:space="preserve">El nuevo centro </w:t>
      </w:r>
      <w:r>
        <w:rPr>
          <w:rFonts w:cs="Arial" w:ascii="Arial" w:hAnsi="Arial"/>
          <w:sz w:val="22"/>
          <w:szCs w:val="22"/>
        </w:rPr>
        <w:t xml:space="preserve">asumirá una doble </w:t>
      </w:r>
      <w:r>
        <w:rPr>
          <w:rFonts w:cs="Arial" w:ascii="Arial" w:hAnsi="Arial"/>
          <w:color w:val="000000"/>
          <w:sz w:val="22"/>
          <w:szCs w:val="22"/>
          <w:lang w:val="es-ES"/>
        </w:rPr>
        <w:t xml:space="preserve">función: además de operar como centro </w:t>
      </w:r>
      <w:r>
        <w:rPr>
          <w:rFonts w:cs="Arial" w:ascii="Arial" w:hAnsi="Arial"/>
          <w:i/>
          <w:iCs/>
          <w:color w:val="000000"/>
          <w:sz w:val="22"/>
          <w:szCs w:val="22"/>
          <w:lang w:val="es-ES"/>
        </w:rPr>
        <w:t>cash&amp;carry</w:t>
      </w:r>
      <w:r>
        <w:rPr>
          <w:rFonts w:cs="Arial" w:ascii="Arial" w:hAnsi="Arial"/>
          <w:color w:val="000000"/>
          <w:sz w:val="22"/>
          <w:szCs w:val="22"/>
          <w:lang w:val="es-ES"/>
        </w:rPr>
        <w:t>, actuará como plataforma logística de proximidad especializada en la distribución a la hostelería. De este modo, los clientes podrán elegir entre realizar sus compras presencialmente en el establecimiento y acceder al servicio habitual de GM Cash, o bien solicitar la entrega directa de sus pedidos en sus negocios, en función de sus necesidades operativas.</w:t>
      </w:r>
    </w:p>
    <w:p>
      <w:pPr>
        <w:pStyle w:val="Normal"/>
        <w:spacing w:lineRule="auto" w:line="360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  <w:t>El centro dispondrá de 51 plazas de aparcamiento y contará asimismo con una gasolinera de autoservicio GM Oil, con cuatro surtidores y abierta a todos los públicos.</w:t>
      </w:r>
    </w:p>
    <w:p>
      <w:pPr>
        <w:pStyle w:val="Normal"/>
        <w:spacing w:lineRule="auto" w:line="360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</w:r>
    </w:p>
    <w:p>
      <w:pPr>
        <w:pStyle w:val="Normal"/>
        <w:numPr>
          <w:ilvl w:val="0"/>
          <w:numId w:val="0"/>
        </w:numPr>
        <w:spacing w:lineRule="auto" w:line="360"/>
        <w:jc w:val="both"/>
        <w:outlineLvl w:val="2"/>
        <w:rPr>
          <w:rFonts w:ascii="Arial" w:hAnsi="Arial" w:cs="Arial"/>
          <w:b/>
          <w:bCs/>
          <w:color w:val="000000"/>
          <w:sz w:val="22"/>
          <w:szCs w:val="22"/>
          <w:lang w:val="es-ES"/>
        </w:rPr>
      </w:pPr>
      <w:r>
        <w:rPr>
          <w:rFonts w:cs="Arial" w:ascii="Arial" w:hAnsi="Arial"/>
          <w:b/>
          <w:bCs/>
          <w:color w:val="000000"/>
          <w:sz w:val="22"/>
          <w:szCs w:val="22"/>
          <w:lang w:val="es-ES"/>
        </w:rPr>
        <w:t>Quinto GM Cash de Transgourmet en Canarias</w:t>
      </w:r>
    </w:p>
    <w:p>
      <w:pPr>
        <w:pStyle w:val="Normal"/>
        <w:numPr>
          <w:ilvl w:val="0"/>
          <w:numId w:val="0"/>
        </w:numPr>
        <w:spacing w:lineRule="auto" w:line="360"/>
        <w:jc w:val="both"/>
        <w:outlineLvl w:val="2"/>
        <w:rPr>
          <w:rFonts w:ascii="Arial" w:hAnsi="Arial" w:cs="Arial"/>
          <w:sz w:val="22"/>
          <w:szCs w:val="22"/>
          <w:lang w:val="es-ES"/>
        </w:rPr>
      </w:pPr>
      <w:r>
        <w:rPr>
          <w:rFonts w:cs="Arial" w:ascii="Arial" w:hAnsi="Arial"/>
          <w:sz w:val="22"/>
          <w:szCs w:val="22"/>
          <w:lang w:val="es-ES"/>
        </w:rPr>
        <w:t>Con la apertura del</w:t>
      </w:r>
      <w:r>
        <w:rPr>
          <w:rFonts w:cs="Arial" w:ascii="Arial" w:hAnsi="Arial"/>
          <w:i/>
          <w:iCs/>
          <w:sz w:val="22"/>
          <w:szCs w:val="22"/>
          <w:lang w:val="es-ES"/>
        </w:rPr>
        <w:t xml:space="preserve"> </w:t>
      </w:r>
      <w:r>
        <w:rPr>
          <w:rFonts w:cs="Arial" w:ascii="Arial" w:hAnsi="Arial"/>
          <w:sz w:val="22"/>
          <w:szCs w:val="22"/>
          <w:lang w:val="es-ES"/>
        </w:rPr>
        <w:t>nuevo</w:t>
      </w:r>
      <w:r>
        <w:rPr>
          <w:rFonts w:cs="Arial" w:ascii="Arial" w:hAnsi="Arial"/>
          <w:i/>
          <w:iCs/>
          <w:sz w:val="22"/>
          <w:szCs w:val="22"/>
          <w:lang w:val="es-ES"/>
        </w:rPr>
        <w:t xml:space="preserve"> cash</w:t>
      </w:r>
      <w:r>
        <w:rPr>
          <w:rFonts w:cs="Arial" w:ascii="Arial" w:hAnsi="Arial"/>
          <w:sz w:val="22"/>
          <w:szCs w:val="22"/>
          <w:lang w:val="es-ES"/>
        </w:rPr>
        <w:t xml:space="preserve"> en Fuerteventura, Transgourmet alcanzará los cinco centros GM Cash en Canarias, ampliando su presencia en el archipiélago y reforzando su apuesta por este territorio y por el sector de la hostelería y la restauración.</w:t>
      </w:r>
    </w:p>
    <w:p>
      <w:pPr>
        <w:pStyle w:val="Normal"/>
        <w:numPr>
          <w:ilvl w:val="0"/>
          <w:numId w:val="0"/>
        </w:numPr>
        <w:spacing w:lineRule="auto" w:line="360"/>
        <w:jc w:val="both"/>
        <w:outlineLvl w:val="2"/>
        <w:rPr>
          <w:rFonts w:ascii="Arial" w:hAnsi="Arial" w:cs="Arial"/>
          <w:sz w:val="22"/>
          <w:szCs w:val="22"/>
          <w:lang w:val="es-ES"/>
        </w:rPr>
      </w:pPr>
      <w:r>
        <w:rPr>
          <w:rFonts w:cs="Arial" w:ascii="Arial" w:hAnsi="Arial"/>
          <w:sz w:val="22"/>
          <w:szCs w:val="22"/>
          <w:lang w:val="es-ES"/>
        </w:rPr>
      </w:r>
    </w:p>
    <w:p>
      <w:pPr>
        <w:pStyle w:val="Normal"/>
        <w:numPr>
          <w:ilvl w:val="0"/>
          <w:numId w:val="0"/>
        </w:numPr>
        <w:spacing w:lineRule="auto" w:line="360"/>
        <w:jc w:val="both"/>
        <w:outlineLvl w:val="2"/>
        <w:rPr/>
      </w:pPr>
      <w:r>
        <w:rPr>
          <w:rFonts w:cs="Arial" w:ascii="Arial" w:hAnsi="Arial"/>
          <w:sz w:val="22"/>
          <w:szCs w:val="22"/>
          <w:lang w:val="es-ES"/>
        </w:rPr>
        <w:t xml:space="preserve">Actualmente, la compañía cuenta con cuatro centros </w:t>
      </w:r>
      <w:r>
        <w:rPr>
          <w:rFonts w:cs="Arial" w:ascii="Arial" w:hAnsi="Arial"/>
          <w:i/>
          <w:iCs/>
          <w:sz w:val="22"/>
          <w:szCs w:val="22"/>
          <w:lang w:val="es-ES"/>
        </w:rPr>
        <w:t>cash&amp;carry</w:t>
      </w:r>
      <w:r>
        <w:rPr>
          <w:rFonts w:cs="Arial" w:ascii="Arial" w:hAnsi="Arial"/>
          <w:sz w:val="22"/>
          <w:szCs w:val="22"/>
          <w:lang w:val="es-ES"/>
        </w:rPr>
        <w:t xml:space="preserve"> en las islas: dos en la provincia de Las Palmas, en Las Palmas de Gran Canaria y San Bartolomé (Lanzarote), y dos en la provincia de Santa Cruz de Tenerife, en la capital y en Adeje.</w:t>
      </w:r>
    </w:p>
    <w:p>
      <w:pPr>
        <w:pStyle w:val="NormalWeb"/>
        <w:spacing w:lineRule="auto" w:line="360"/>
        <w:jc w:val="both"/>
        <w:rPr>
          <w:rFonts w:ascii="Arial" w:hAnsi="Arial" w:eastAsia="Times New Roman" w:cs="Arial"/>
          <w:color w:val="000000"/>
          <w:sz w:val="22"/>
          <w:szCs w:val="22"/>
          <w:lang w:eastAsia="es-ES_tradnl"/>
        </w:rPr>
      </w:pPr>
      <w:r>
        <w:rPr>
          <w:rFonts w:cs="Arial" w:ascii="Arial" w:hAnsi="Arial"/>
          <w:sz w:val="22"/>
          <w:szCs w:val="22"/>
        </w:rPr>
        <w:t xml:space="preserve">Juan Domínguez, gerente general de Transgourmet en Canarias, ha señalado que “el archipiélago es un mercado estratégico para la compañía y Fuerteventura representa una gran oportunidad para seguir creciendo junto al sector hostelero. Con este nuevo centro reforzamos </w:t>
      </w:r>
      <w:r>
        <w:rPr>
          <w:rFonts w:eastAsia="Times New Roman" w:cs="Arial" w:ascii="Arial" w:hAnsi="Arial"/>
          <w:color w:val="000000"/>
          <w:sz w:val="22"/>
          <w:szCs w:val="22"/>
          <w:lang w:eastAsia="es-ES_tradnl"/>
        </w:rPr>
        <w:t>nuestro compromiso de acompañar a los profesionales de la hostelería y la restauración en el desarrollo de sus negocios”.</w:t>
      </w:r>
    </w:p>
    <w:p>
      <w:pPr>
        <w:pStyle w:val="Normal"/>
        <w:spacing w:lineRule="auto" w:line="360" w:before="280" w:after="280"/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cs="Arial" w:ascii="Arial" w:hAnsi="Arial"/>
          <w:sz w:val="22"/>
          <w:szCs w:val="22"/>
          <w:lang w:val="es-ES"/>
        </w:rPr>
        <w:t xml:space="preserve">El nuevo GM Cash estará en el polígono industrial La Hondura, en la calle Los Alisios, esquina con la calle La Nasa. </w:t>
      </w:r>
    </w:p>
    <w:p>
      <w:pPr>
        <w:pStyle w:val="Normal"/>
        <w:numPr>
          <w:ilvl w:val="0"/>
          <w:numId w:val="0"/>
        </w:numPr>
        <w:spacing w:lineRule="auto" w:line="360"/>
        <w:jc w:val="both"/>
        <w:outlineLvl w:val="2"/>
        <w:rPr>
          <w:rFonts w:ascii="Arial" w:hAnsi="Arial" w:cs="Arial"/>
          <w:b/>
          <w:bCs/>
          <w:color w:val="000000"/>
          <w:sz w:val="22"/>
          <w:szCs w:val="22"/>
          <w:lang w:val="es-ES"/>
        </w:rPr>
      </w:pPr>
      <w:r>
        <w:rPr>
          <w:rFonts w:cs="Arial" w:ascii="Arial" w:hAnsi="Arial"/>
          <w:b/>
          <w:bCs/>
          <w:color w:val="000000"/>
          <w:sz w:val="22"/>
          <w:szCs w:val="22"/>
          <w:lang w:val="es-ES"/>
        </w:rPr>
        <w:t>Compromiso con un modelo económico más sostenible</w:t>
      </w:r>
    </w:p>
    <w:p>
      <w:pPr>
        <w:pStyle w:val="Normal"/>
        <w:spacing w:lineRule="auto" w:line="360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  <w:t>En línea con su compromiso con la sostenibilidad, el nuevo GM Cash incorporará diferentes soluciones orientadas a mejorar su eficiencia energética y reducir su impacto ambiental. El establecimiento contará con placas fotovoltaicas, iluminación led y sistemas de refrigeración que utilizan tecnologías más respetuosas con el medioambiente, además de equipos eficientes destinados a optimizar y reducir el consumo energético.</w:t>
      </w:r>
    </w:p>
    <w:p>
      <w:pPr>
        <w:pStyle w:val="Normal"/>
        <w:spacing w:lineRule="auto" w:line="360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>
        <w:rPr>
          <w:rFonts w:cs="Arial" w:ascii="Arial" w:hAnsi="Arial"/>
          <w:color w:val="000000"/>
          <w:sz w:val="22"/>
          <w:szCs w:val="22"/>
          <w:lang w:val="es-ES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cs="Arial" w:ascii="Arial" w:hAnsi="Arial"/>
          <w:b/>
          <w:color w:val="000000"/>
          <w:sz w:val="22"/>
          <w:szCs w:val="22"/>
        </w:rPr>
        <w:t>SOBRE TRANSGOURMET IBÉRICA</w:t>
      </w:r>
    </w:p>
    <w:p>
      <w:pPr>
        <w:pStyle w:val="Normal"/>
        <w:spacing w:lineRule="auto" w:line="360"/>
        <w:jc w:val="both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cs="Arial" w:ascii="Arial" w:hAnsi="Arial"/>
          <w:color w:val="121212"/>
          <w:sz w:val="22"/>
          <w:szCs w:val="22"/>
        </w:rPr>
        <w:t xml:space="preserve">Transgourmet Ibérica es propiedad del grupo suizo Transgourmet, la segunda empresa de distribución mayorista de Europa, que pertenece, a su vez, al grupo Coop. Actualmente cuenta </w:t>
      </w:r>
      <w:r>
        <w:rPr>
          <w:rFonts w:cs="Arial" w:ascii="Arial" w:hAnsi="Arial"/>
          <w:sz w:val="22"/>
          <w:szCs w:val="22"/>
        </w:rPr>
        <w:t>con 7 plataformas de distribución</w:t>
      </w:r>
      <w:r>
        <w:rPr>
          <w:rFonts w:cs="Arial" w:ascii="Arial" w:hAnsi="Arial"/>
          <w:color w:val="121212"/>
          <w:sz w:val="22"/>
          <w:szCs w:val="22"/>
        </w:rPr>
        <w:t xml:space="preserve"> repartidas por toda España y es referente en el sector de </w:t>
      </w:r>
      <w:r>
        <w:rPr>
          <w:rFonts w:cs="Arial" w:ascii="Arial" w:hAnsi="Arial"/>
          <w:i/>
          <w:iCs/>
          <w:color w:val="121212"/>
          <w:sz w:val="22"/>
          <w:szCs w:val="22"/>
        </w:rPr>
        <w:t>retail,</w:t>
      </w:r>
      <w:r>
        <w:rPr>
          <w:rFonts w:cs="Arial" w:ascii="Arial" w:hAnsi="Arial"/>
          <w:color w:val="121212"/>
          <w:sz w:val="22"/>
          <w:szCs w:val="22"/>
        </w:rPr>
        <w:t xml:space="preserve"> con más de 700 supermercados bajo las enseñas Suma, Proxim, Spar y Kuups, y más de 2.500 </w:t>
      </w:r>
      <w:r>
        <w:rPr>
          <w:rFonts w:cs="Arial" w:ascii="Arial" w:hAnsi="Arial"/>
          <w:bCs/>
          <w:color w:val="000000"/>
          <w:sz w:val="22"/>
          <w:szCs w:val="22"/>
        </w:rPr>
        <w:t>clientes independientes.</w:t>
      </w:r>
    </w:p>
    <w:p>
      <w:pPr>
        <w:pStyle w:val="NormalWeb"/>
        <w:spacing w:lineRule="auto" w:line="360" w:before="0" w:after="0"/>
        <w:jc w:val="both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cs="Arial" w:ascii="Arial" w:hAnsi="Arial"/>
          <w:bCs/>
          <w:color w:val="000000"/>
          <w:sz w:val="22"/>
          <w:szCs w:val="22"/>
        </w:rPr>
      </w:r>
    </w:p>
    <w:p>
      <w:pPr>
        <w:pStyle w:val="NormalWeb"/>
        <w:spacing w:lineRule="auto" w:line="360" w:before="0" w:after="0"/>
        <w:jc w:val="both"/>
        <w:rPr>
          <w:rFonts w:ascii="Arial" w:hAnsi="Arial" w:cs="Arial"/>
          <w:color w:val="121212"/>
          <w:sz w:val="22"/>
          <w:szCs w:val="22"/>
        </w:rPr>
      </w:pPr>
      <w:r>
        <w:rPr>
          <w:rFonts w:cs="Arial" w:ascii="Arial" w:hAnsi="Arial"/>
          <w:bCs/>
          <w:color w:val="000000"/>
          <w:sz w:val="22"/>
          <w:szCs w:val="22"/>
        </w:rPr>
        <w:t>Asimismo, la empresa cuenta con su línea de servicio</w:t>
      </w:r>
      <w:r>
        <w:rPr>
          <w:rFonts w:cs="Arial" w:ascii="Arial" w:hAnsi="Arial"/>
          <w:color w:val="121212"/>
          <w:sz w:val="22"/>
          <w:szCs w:val="22"/>
        </w:rPr>
        <w:t xml:space="preserve"> a la hostelería compuesta por        74 centros </w:t>
      </w:r>
      <w:r>
        <w:rPr>
          <w:rFonts w:cs="Arial" w:ascii="Arial" w:hAnsi="Arial"/>
          <w:i/>
          <w:iCs/>
          <w:color w:val="121212"/>
          <w:sz w:val="22"/>
          <w:szCs w:val="22"/>
        </w:rPr>
        <w:t>cash&amp;carry</w:t>
      </w:r>
      <w:r>
        <w:rPr>
          <w:rFonts w:cs="Arial" w:ascii="Arial" w:hAnsi="Arial"/>
          <w:color w:val="121212"/>
          <w:sz w:val="22"/>
          <w:szCs w:val="22"/>
        </w:rPr>
        <w:t xml:space="preserve"> y 29 gasolineras GM Oil, y una red formada por 400 comerciales de </w:t>
      </w:r>
      <w:r>
        <w:rPr>
          <w:rFonts w:cs="Arial" w:ascii="Arial" w:hAnsi="Arial"/>
          <w:i/>
          <w:iCs/>
          <w:color w:val="121212"/>
          <w:sz w:val="22"/>
          <w:szCs w:val="22"/>
        </w:rPr>
        <w:t>food service</w:t>
      </w:r>
      <w:r>
        <w:rPr>
          <w:rFonts w:cs="Arial" w:ascii="Arial" w:hAnsi="Arial"/>
          <w:color w:val="121212"/>
          <w:sz w:val="22"/>
          <w:szCs w:val="22"/>
        </w:rPr>
        <w:t> y una flota que supera los 300 vehículos para el servicio de reparto.</w:t>
      </w:r>
    </w:p>
    <w:p>
      <w:pPr>
        <w:pStyle w:val="NormalWeb"/>
        <w:spacing w:lineRule="auto" w:line="360" w:before="0" w:after="0"/>
        <w:jc w:val="both"/>
        <w:rPr>
          <w:rFonts w:ascii="Arial" w:hAnsi="Arial" w:cs="Arial"/>
          <w:color w:val="121212"/>
          <w:sz w:val="22"/>
          <w:szCs w:val="22"/>
        </w:rPr>
      </w:pPr>
      <w:r>
        <w:rPr>
          <w:rFonts w:cs="Arial" w:ascii="Arial" w:hAnsi="Arial"/>
          <w:color w:val="121212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color w:val="121212"/>
          <w:sz w:val="21"/>
          <w:szCs w:val="21"/>
        </w:rPr>
      </w:pPr>
      <w:r>
        <w:rPr>
          <w:rFonts w:cs="Arial" w:ascii="Arial" w:hAnsi="Arial"/>
          <w:b/>
          <w:color w:val="121212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Para más información: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Silvia Egea / Susana Moreno 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  <w:lang w:val="pt-PT"/>
        </w:rPr>
      </w:pPr>
      <w:r>
        <w:rPr>
          <w:rFonts w:cs="Arial" w:ascii="Arial" w:hAnsi="Arial"/>
          <w:sz w:val="21"/>
          <w:szCs w:val="21"/>
          <w:lang w:val="pt-PT"/>
        </w:rPr>
        <w:t>Teléfono: +34 676 91 23 39 / +34 607 69 47 60</w:t>
      </w:r>
    </w:p>
    <w:p>
      <w:pPr>
        <w:pStyle w:val="Normal"/>
        <w:rPr>
          <w:rFonts w:ascii="Arial" w:hAnsi="Arial" w:cs="Arial"/>
          <w:color w:val="000000"/>
          <w:sz w:val="21"/>
          <w:szCs w:val="21"/>
          <w:lang w:val="pt-PT" w:eastAsia="en-US"/>
        </w:rPr>
      </w:pPr>
      <w:r>
        <w:rPr>
          <w:rFonts w:cs="Arial" w:ascii="Arial" w:hAnsi="Arial"/>
          <w:sz w:val="21"/>
          <w:szCs w:val="21"/>
          <w:lang w:val="pt-PT"/>
        </w:rPr>
        <w:t xml:space="preserve">E-mail: </w:t>
      </w:r>
      <w:hyperlink r:id="rId2">
        <w:r>
          <w:rPr>
            <w:rStyle w:val="Hyperlink"/>
            <w:rFonts w:cs="Arial" w:ascii="Arial" w:hAnsi="Arial"/>
            <w:sz w:val="21"/>
            <w:szCs w:val="21"/>
            <w:lang w:val="pt-PT"/>
          </w:rPr>
          <w:t>silvia.egea@corpocomunicacion.com</w:t>
        </w:r>
      </w:hyperlink>
      <w:r>
        <w:rPr>
          <w:rFonts w:cs="Arial" w:ascii="Arial" w:hAnsi="Arial"/>
          <w:sz w:val="21"/>
          <w:szCs w:val="21"/>
          <w:lang w:val="pt-PT"/>
        </w:rPr>
        <w:t xml:space="preserve"> / </w:t>
      </w:r>
      <w:hyperlink r:id="rId3">
        <w:r>
          <w:rPr>
            <w:rStyle w:val="Hyperlink"/>
            <w:rFonts w:cs="Arial" w:ascii="Arial" w:hAnsi="Arial"/>
            <w:sz w:val="21"/>
            <w:szCs w:val="21"/>
            <w:lang w:val="pt-PT"/>
          </w:rPr>
          <w:t>susana.moreno@corpocomunicacion.com</w:t>
        </w:r>
      </w:hyperlink>
    </w:p>
    <w:p>
      <w:pPr>
        <w:pStyle w:val="Normal"/>
        <w:spacing w:lineRule="auto" w:line="360" w:before="280" w:after="280"/>
        <w:jc w:val="both"/>
        <w:rPr>
          <w:rFonts w:ascii="Arial" w:hAnsi="Arial" w:cs="Arial"/>
          <w:b/>
          <w:color w:val="000000"/>
          <w:sz w:val="21"/>
          <w:szCs w:val="21"/>
          <w:lang w:val="pt-PT" w:eastAsia="en-US"/>
        </w:rPr>
      </w:pPr>
      <w:r>
        <w:rPr>
          <w:rFonts w:cs="Arial" w:ascii="Arial" w:hAnsi="Arial"/>
          <w:b/>
          <w:color w:val="000000"/>
          <w:sz w:val="21"/>
          <w:szCs w:val="21"/>
          <w:lang w:val="pt-PT" w:eastAsia="en-US"/>
        </w:rPr>
      </w:r>
    </w:p>
    <w:p>
      <w:pPr>
        <w:pStyle w:val="NormalWeb"/>
        <w:spacing w:lineRule="auto" w:line="360" w:before="0" w:after="0"/>
        <w:jc w:val="both"/>
        <w:rPr>
          <w:rFonts w:ascii="Arial" w:hAnsi="Arial" w:cs="Arial"/>
          <w:b/>
          <w:color w:val="121212"/>
          <w:sz w:val="22"/>
          <w:szCs w:val="22"/>
          <w:lang w:val="pt-PT"/>
        </w:rPr>
      </w:pPr>
      <w:r>
        <w:rPr>
          <w:rFonts w:cs="Arial" w:ascii="Arial" w:hAnsi="Arial"/>
          <w:b/>
          <w:color w:val="121212"/>
          <w:sz w:val="22"/>
          <w:szCs w:val="22"/>
          <w:lang w:val="pt-PT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color w:val="121212"/>
          <w:sz w:val="20"/>
          <w:szCs w:val="20"/>
        </w:rPr>
      </w:pPr>
      <w:r>
        <w:rPr>
          <w:rFonts w:cs="Arial" w:ascii="Arial" w:hAnsi="Arial"/>
          <w:b/>
          <w:color w:val="121212"/>
          <w:sz w:val="20"/>
          <w:szCs w:val="20"/>
        </w:rPr>
      </w:r>
    </w:p>
    <w:sectPr>
      <w:headerReference w:type="default" r:id="rId4"/>
      <w:type w:val="nextPage"/>
      <w:pgSz w:w="11906" w:h="16838"/>
      <w:pgMar w:left="1701" w:right="1276" w:gutter="0" w:header="709" w:top="765" w:footer="0" w:bottom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Symbol">
    <w:charset w:val="02"/>
    <w:family w:val="decorative"/>
    <w:pitch w:val="variable"/>
  </w:font>
  <w:font w:name="Courier New">
    <w:charset w:val="00" w:characterSet="windows-1252"/>
    <w:family w:val="modern"/>
    <w:pitch w:val="default"/>
  </w:font>
  <w:font w:name="Wingdings">
    <w:charset w:val="00" w:characterSet="windows-1252"/>
    <w:family w:val="decorative"/>
    <w:pitch w:val="variable"/>
  </w:font>
  <w:font w:name="Liberation Sans">
    <w:altName w:val="Arial"/>
    <w:charset w:val="01" w:characterSet="utf-8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es-ES" w:eastAsia="en-US"/>
      </w:rPr>
    </w:pPr>
    <w:r>
      <w:rPr>
        <w:lang w:val="es-ES" w:eastAsia="en-US"/>
      </w:rPr>
      <w:drawing>
        <wp:inline distT="0" distB="0" distL="0" distR="0">
          <wp:extent cx="1253490" cy="493395"/>
          <wp:effectExtent l="0" t="0" r="0" b="0"/>
          <wp:docPr id="1" name="Image1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9" t="-74" r="-29" b="-74"/>
                  <a:stretch>
                    <a:fillRect/>
                  </a:stretch>
                </pic:blipFill>
                <pic:spPr bwMode="auto">
                  <a:xfrm>
                    <a:off x="0" y="0"/>
                    <a:ext cx="1253490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"/>
      <w:lvlJc w:val="start"/>
      <w:pPr>
        <w:tabs>
          <w:tab w:val="num" w:pos="0"/>
        </w:tabs>
        <w:ind w:start="14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7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s-ES_tradnl" w:bidi="ar-SA" w:eastAsia="zh-CN"/>
    </w:rPr>
  </w:style>
  <w:style w:type="paragraph" w:styleId="Heading3">
    <w:name w:val="Heading 3"/>
    <w:basedOn w:val="Normal"/>
    <w:next w:val="BodyText"/>
    <w:qFormat/>
    <w:pPr>
      <w:numPr>
        <w:ilvl w:val="2"/>
        <w:numId w:val="1"/>
      </w:numPr>
      <w:spacing w:before="280" w:after="280"/>
      <w:outlineLvl w:val="2"/>
    </w:pPr>
    <w:rPr>
      <w:b/>
      <w:bCs/>
      <w:sz w:val="27"/>
      <w:szCs w:val="27"/>
      <w:lang w:val="es-ES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>
      <w:rFonts w:ascii="Wingdings" w:hAnsi="Wingdings" w:cs="Wingdings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0">
    <w:name w:val="WW8Num3z0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Fuentedeprrafopredeter">
    <w:name w:val="Fuente de párrafo predeter."/>
    <w:qFormat/>
    <w:rPr/>
  </w:style>
  <w:style w:type="character" w:styleId="Strong">
    <w:name w:val="Strong"/>
    <w:qFormat/>
    <w:rPr>
      <w:b/>
      <w:bCs/>
    </w:rPr>
  </w:style>
  <w:style w:type="character" w:styleId="apple-converted-space">
    <w:name w:val="apple-converted-space"/>
    <w:qFormat/>
    <w:rPr/>
  </w:style>
  <w:style w:type="character" w:styleId="EncabezadoCar">
    <w:name w:val="Encabezado Car"/>
    <w:qFormat/>
    <w:rPr>
      <w:sz w:val="24"/>
      <w:szCs w:val="24"/>
      <w:lang w:val="es-ES_tradnl"/>
    </w:rPr>
  </w:style>
  <w:style w:type="character" w:styleId="PiedepginaCar">
    <w:name w:val="Pie de página Car"/>
    <w:qFormat/>
    <w:rPr>
      <w:sz w:val="24"/>
      <w:szCs w:val="24"/>
      <w:lang w:val="es-ES_tradnl"/>
    </w:rPr>
  </w:style>
  <w:style w:type="character" w:styleId="Hyperlink">
    <w:name w:val="Hyperlink"/>
    <w:rPr>
      <w:color w:val="0563C1"/>
      <w:u w:val="single"/>
    </w:rPr>
  </w:style>
  <w:style w:type="character" w:styleId="Mencinsinresolver">
    <w:name w:val="Mención sin resolver"/>
    <w:qFormat/>
    <w:rPr>
      <w:color w:val="605E5C"/>
      <w:shd w:fill="E1DFDD" w:val="clear"/>
    </w:rPr>
  </w:style>
  <w:style w:type="character" w:styleId="FollowedHyperlink">
    <w:name w:val="FollowedHyperlink"/>
    <w:rPr>
      <w:color w:val="954F72"/>
      <w:u w:val="single"/>
    </w:rPr>
  </w:style>
  <w:style w:type="character" w:styleId="Emphasis">
    <w:name w:val="Emphasis"/>
    <w:qFormat/>
    <w:rPr>
      <w:i/>
      <w:iCs/>
    </w:rPr>
  </w:style>
  <w:style w:type="character" w:styleId="Ttulo3Car">
    <w:name w:val="Título 3 Car"/>
    <w:qFormat/>
    <w:rPr>
      <w:b/>
      <w:bCs/>
      <w:sz w:val="27"/>
      <w:szCs w:val="27"/>
    </w:rPr>
  </w:style>
  <w:style w:type="character" w:styleId="Refdecomentario">
    <w:name w:val="Ref. de comentario"/>
    <w:qFormat/>
    <w:rPr>
      <w:sz w:val="16"/>
      <w:szCs w:val="16"/>
    </w:rPr>
  </w:style>
  <w:style w:type="character" w:styleId="TextocomentarioCar">
    <w:name w:val="Texto comentario Car"/>
    <w:qFormat/>
    <w:rPr>
      <w:lang w:val="es-ES_tradnl"/>
    </w:rPr>
  </w:style>
  <w:style w:type="character" w:styleId="AsuntodelcomentarioCar">
    <w:name w:val="Asunto del comentario Car"/>
    <w:qFormat/>
    <w:rPr>
      <w:b/>
      <w:bCs/>
      <w:lang w:val="es-ES_tradn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qFormat/>
    <w:pPr>
      <w:spacing w:before="0" w:after="0"/>
      <w:ind w:hanging="0" w:start="720" w:end="0"/>
      <w:contextualSpacing/>
    </w:pPr>
    <w:rPr/>
  </w:style>
  <w:style w:type="paragraph" w:styleId="NormalWeb">
    <w:name w:val="Normal (Web)"/>
    <w:basedOn w:val="Normal"/>
    <w:qFormat/>
    <w:pPr>
      <w:spacing w:before="280" w:after="280"/>
      <w:jc w:val="start"/>
    </w:pPr>
    <w:rPr>
      <w:rFonts w:ascii="Times New Roman" w:hAnsi="Times New Roman" w:eastAsia="Calibri" w:cs="Times New Roman"/>
      <w:sz w:val="24"/>
      <w:szCs w:val="24"/>
      <w:lang w:val="es-ES"/>
    </w:rPr>
  </w:style>
  <w:style w:type="paragraph" w:styleId="prrafobsico">
    <w:name w:val="prrafobsico"/>
    <w:basedOn w:val="Normal"/>
    <w:qFormat/>
    <w:pPr>
      <w:spacing w:before="280" w:after="280"/>
      <w:jc w:val="start"/>
    </w:pPr>
    <w:rPr>
      <w:rFonts w:ascii="Times New Roman" w:hAnsi="Times New Roman" w:cs="Times New Roman"/>
      <w:sz w:val="24"/>
      <w:szCs w:val="24"/>
      <w:lang w:val="es-ES_tradnl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isselectedend">
    <w:name w:val="isselectedend"/>
    <w:basedOn w:val="Normal"/>
    <w:qFormat/>
    <w:pPr>
      <w:spacing w:before="280" w:after="280"/>
    </w:pPr>
    <w:rPr>
      <w:lang w:val="es-ES"/>
    </w:rPr>
  </w:style>
  <w:style w:type="paragraph" w:styleId="Textocomentario">
    <w:name w:val="Texto comentario"/>
    <w:basedOn w:val="Normal"/>
    <w:qFormat/>
    <w:pPr/>
    <w:rPr>
      <w:sz w:val="20"/>
      <w:szCs w:val="20"/>
    </w:rPr>
  </w:style>
  <w:style w:type="paragraph" w:styleId="Asuntodelcomentario">
    <w:name w:val="Asunto del comentario"/>
    <w:basedOn w:val="Textocomentario"/>
    <w:next w:val="Textocomentario"/>
    <w:qFormat/>
    <w:pPr/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ilvia.egea@corpocomunicacion.com" TargetMode="External"/><Relationship Id="rId3" Type="http://schemas.openxmlformats.org/officeDocument/2006/relationships/hyperlink" Target="mailto:susana.moreno@corpocomunicacion.com" TargetMode="External"/><Relationship Id="rId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2026-10-05T14:46:00Z</dcterms:created>
  <dc:creator>jordi.mestre</dc:creator>
  <dc:description/>
  <cp:keywords/>
  <dc:language>en-US</dc:language>
  <cp:lastModifiedBy>SILVI EGEA BAS</cp:lastModifiedBy>
  <cp:lastPrinted>2017-12-14T17:43:00Z</cp:lastPrinted>
  <dcterms:modified xsi:type="dcterms:W3CDTF">2026-10-26T14:52:00Z</dcterms:modified>
  <cp:revision>26</cp:revision>
  <dc:subject/>
  <dc:title/>
</cp:coreProperties>
</file>